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DC" w:rsidRDefault="00DB38DC" w:rsidP="00DB38DC">
      <w:pPr>
        <w:spacing w:line="360" w:lineRule="auto"/>
        <w:ind w:left="360"/>
        <w:jc w:val="center"/>
        <w:rPr>
          <w:rFonts w:ascii="Times New Roman" w:hAnsi="Times New Roman" w:cs="Times New Roman"/>
          <w:b/>
          <w:bCs/>
          <w:sz w:val="24"/>
          <w:szCs w:val="24"/>
        </w:rPr>
      </w:pPr>
    </w:p>
    <w:p w:rsidR="00DB38DC" w:rsidRDefault="00DB38DC" w:rsidP="00DB38DC">
      <w:pPr>
        <w:spacing w:line="360" w:lineRule="auto"/>
        <w:ind w:left="360"/>
        <w:jc w:val="center"/>
        <w:rPr>
          <w:rFonts w:ascii="Times New Roman" w:hAnsi="Times New Roman" w:cs="Times New Roman"/>
          <w:b/>
          <w:bCs/>
          <w:sz w:val="24"/>
          <w:szCs w:val="24"/>
        </w:rPr>
      </w:pPr>
    </w:p>
    <w:p w:rsidR="00DB38DC" w:rsidRDefault="00DB38DC" w:rsidP="00DB38DC">
      <w:pPr>
        <w:spacing w:line="360" w:lineRule="auto"/>
        <w:ind w:left="360"/>
        <w:jc w:val="center"/>
        <w:rPr>
          <w:rFonts w:ascii="Times New Roman" w:hAnsi="Times New Roman" w:cs="Times New Roman"/>
          <w:b/>
          <w:bCs/>
          <w:sz w:val="24"/>
          <w:szCs w:val="24"/>
        </w:rPr>
      </w:pPr>
    </w:p>
    <w:p w:rsidR="00DB38DC" w:rsidRDefault="00DB38DC" w:rsidP="00DB38DC">
      <w:pPr>
        <w:spacing w:line="360" w:lineRule="auto"/>
        <w:ind w:left="360"/>
        <w:jc w:val="center"/>
        <w:rPr>
          <w:rFonts w:ascii="Times New Roman" w:hAnsi="Times New Roman" w:cs="Times New Roman"/>
          <w:b/>
          <w:bCs/>
          <w:sz w:val="24"/>
          <w:szCs w:val="24"/>
        </w:rPr>
      </w:pPr>
    </w:p>
    <w:p w:rsidR="00DB38DC" w:rsidRDefault="00DB38DC" w:rsidP="00DB38DC">
      <w:pPr>
        <w:spacing w:line="360" w:lineRule="auto"/>
        <w:ind w:left="360"/>
        <w:jc w:val="center"/>
        <w:rPr>
          <w:rFonts w:ascii="Times New Roman" w:hAnsi="Times New Roman" w:cs="Times New Roman"/>
          <w:b/>
          <w:bCs/>
          <w:sz w:val="24"/>
          <w:szCs w:val="24"/>
        </w:rPr>
      </w:pPr>
    </w:p>
    <w:p w:rsidR="00DB38DC" w:rsidRPr="004E1A7F" w:rsidRDefault="004E1A7F" w:rsidP="00DB38DC">
      <w:pPr>
        <w:spacing w:line="360" w:lineRule="auto"/>
        <w:ind w:left="360"/>
        <w:jc w:val="center"/>
        <w:rPr>
          <w:rFonts w:ascii="Times New Roman" w:hAnsi="Times New Roman" w:cs="Times New Roman"/>
          <w:b/>
          <w:bCs/>
          <w:sz w:val="24"/>
          <w:szCs w:val="24"/>
        </w:rPr>
      </w:pPr>
      <w:r w:rsidRPr="004E1A7F">
        <w:rPr>
          <w:rFonts w:ascii="Times New Roman" w:hAnsi="Times New Roman" w:cs="Times New Roman"/>
          <w:b/>
          <w:bCs/>
          <w:sz w:val="24"/>
          <w:szCs w:val="24"/>
        </w:rPr>
        <w:t>Report on analyzing the merger between Alahli Bank SNB and Samba Financial Group In Saudi Arabia</w:t>
      </w:r>
    </w:p>
    <w:p w:rsidR="00DB38DC" w:rsidRPr="00BC65B2" w:rsidRDefault="001C4334" w:rsidP="00DB38DC">
      <w:pPr>
        <w:spacing w:line="360" w:lineRule="auto"/>
        <w:ind w:left="360"/>
        <w:jc w:val="center"/>
        <w:rPr>
          <w:rFonts w:ascii="Times New Roman" w:hAnsi="Times New Roman" w:cs="Times New Roman"/>
          <w:bCs/>
          <w:sz w:val="24"/>
          <w:szCs w:val="24"/>
        </w:rPr>
      </w:pPr>
      <w:r w:rsidRPr="00BC65B2">
        <w:rPr>
          <w:rFonts w:ascii="Times New Roman" w:hAnsi="Times New Roman" w:cs="Times New Roman"/>
          <w:bCs/>
          <w:sz w:val="24"/>
          <w:szCs w:val="24"/>
        </w:rPr>
        <w:t xml:space="preserve">Financial Analysis </w:t>
      </w:r>
    </w:p>
    <w:p w:rsidR="00BC65B2" w:rsidRPr="00FF1719" w:rsidRDefault="001C4334" w:rsidP="00BC65B2">
      <w:pPr>
        <w:spacing w:line="480" w:lineRule="auto"/>
        <w:jc w:val="center"/>
        <w:rPr>
          <w:rFonts w:ascii="Times New Roman" w:hAnsi="Times New Roman" w:cs="Times New Roman"/>
          <w:bCs/>
          <w:sz w:val="24"/>
          <w:szCs w:val="24"/>
        </w:rPr>
      </w:pPr>
      <w:r w:rsidRPr="00FF1719">
        <w:rPr>
          <w:rFonts w:ascii="Times New Roman" w:hAnsi="Times New Roman" w:cs="Times New Roman"/>
          <w:bCs/>
          <w:sz w:val="24"/>
          <w:szCs w:val="24"/>
        </w:rPr>
        <w:t>Submitted by:</w:t>
      </w:r>
    </w:p>
    <w:p w:rsidR="00BC65B2" w:rsidRPr="00FF1719" w:rsidRDefault="001C4334" w:rsidP="00BC65B2">
      <w:pPr>
        <w:spacing w:line="480" w:lineRule="auto"/>
        <w:jc w:val="center"/>
        <w:rPr>
          <w:rFonts w:ascii="Times New Roman" w:hAnsi="Times New Roman" w:cs="Times New Roman"/>
          <w:bCs/>
          <w:sz w:val="24"/>
          <w:szCs w:val="24"/>
        </w:rPr>
      </w:pPr>
      <w:r w:rsidRPr="00FF1719">
        <w:rPr>
          <w:rFonts w:ascii="Times New Roman" w:hAnsi="Times New Roman" w:cs="Times New Roman"/>
          <w:bCs/>
          <w:sz w:val="24"/>
          <w:szCs w:val="24"/>
        </w:rPr>
        <w:t>Submitted to:</w:t>
      </w:r>
    </w:p>
    <w:p w:rsidR="00BC65B2" w:rsidRPr="00FF1719" w:rsidRDefault="001C4334" w:rsidP="00BC65B2">
      <w:pPr>
        <w:spacing w:line="480" w:lineRule="auto"/>
        <w:jc w:val="center"/>
        <w:rPr>
          <w:rFonts w:ascii="Times New Roman" w:hAnsi="Times New Roman" w:cs="Times New Roman"/>
          <w:bCs/>
          <w:sz w:val="24"/>
          <w:szCs w:val="24"/>
        </w:rPr>
      </w:pPr>
      <w:r w:rsidRPr="00FF1719">
        <w:rPr>
          <w:rFonts w:ascii="Times New Roman" w:hAnsi="Times New Roman" w:cs="Times New Roman"/>
          <w:bCs/>
          <w:sz w:val="24"/>
          <w:szCs w:val="24"/>
        </w:rPr>
        <w:t>Date:</w:t>
      </w:r>
    </w:p>
    <w:p w:rsidR="00BC65B2" w:rsidRPr="00DB38DC" w:rsidRDefault="00BC65B2" w:rsidP="00DB38DC">
      <w:pPr>
        <w:spacing w:line="360" w:lineRule="auto"/>
        <w:ind w:left="360"/>
        <w:jc w:val="center"/>
        <w:rPr>
          <w:rFonts w:ascii="Times New Roman" w:hAnsi="Times New Roman" w:cs="Times New Roman"/>
          <w:b/>
          <w:bCs/>
          <w:sz w:val="24"/>
          <w:szCs w:val="24"/>
        </w:rPr>
        <w:sectPr w:rsidR="00BC65B2" w:rsidRPr="00DB38DC" w:rsidSect="00F64CCC">
          <w:headerReference w:type="default" r:id="rId8"/>
          <w:pgSz w:w="12240" w:h="15840"/>
          <w:pgMar w:top="1440" w:right="1440" w:bottom="1440" w:left="1440" w:header="720" w:footer="720" w:gutter="0"/>
          <w:cols w:space="720"/>
          <w:docGrid w:linePitch="360"/>
        </w:sectPr>
      </w:pPr>
    </w:p>
    <w:p w:rsidR="00B22A79" w:rsidRPr="00DB38DC" w:rsidRDefault="001C4334" w:rsidP="00DB38DC">
      <w:pPr>
        <w:pStyle w:val="ListParagraph"/>
        <w:numPr>
          <w:ilvl w:val="0"/>
          <w:numId w:val="1"/>
        </w:numPr>
        <w:spacing w:line="360" w:lineRule="auto"/>
        <w:rPr>
          <w:rFonts w:ascii="Times New Roman" w:hAnsi="Times New Roman" w:cs="Times New Roman"/>
          <w:b/>
          <w:bCs/>
          <w:sz w:val="24"/>
          <w:szCs w:val="24"/>
        </w:rPr>
      </w:pPr>
      <w:r w:rsidRPr="00DB38DC">
        <w:rPr>
          <w:rFonts w:ascii="Times New Roman" w:hAnsi="Times New Roman" w:cs="Times New Roman"/>
          <w:b/>
          <w:bCs/>
          <w:sz w:val="24"/>
          <w:szCs w:val="24"/>
        </w:rPr>
        <w:lastRenderedPageBreak/>
        <w:t>Executive Summary</w:t>
      </w:r>
    </w:p>
    <w:p w:rsidR="00B22A79" w:rsidRPr="00DB38DC" w:rsidRDefault="001C4334" w:rsidP="00DB38DC">
      <w:pPr>
        <w:spacing w:line="360" w:lineRule="auto"/>
        <w:jc w:val="both"/>
        <w:rPr>
          <w:rFonts w:ascii="Times New Roman" w:hAnsi="Times New Roman" w:cs="Times New Roman"/>
          <w:bCs/>
          <w:sz w:val="24"/>
          <w:szCs w:val="24"/>
        </w:rPr>
      </w:pPr>
      <w:r w:rsidRPr="00DB38DC">
        <w:rPr>
          <w:rFonts w:ascii="Times New Roman" w:hAnsi="Times New Roman" w:cs="Times New Roman"/>
          <w:bCs/>
          <w:sz w:val="24"/>
          <w:szCs w:val="24"/>
        </w:rPr>
        <w:t xml:space="preserve">The basic purpose of this financial analysis is to analyze the merger between Alahli Bank SNB and Samba Financial Group which is a significant move in the banking industry of Saudi Arabia. The purpose of a merger is to develop a powerhouse that could increase the market share, improve operational efficiency, and increase financial performance. The analysis provides a concise overview of the findings of the </w:t>
      </w:r>
      <w:r w:rsidR="0026571C" w:rsidRPr="00DB38DC">
        <w:rPr>
          <w:rFonts w:ascii="Times New Roman" w:hAnsi="Times New Roman" w:cs="Times New Roman"/>
          <w:bCs/>
          <w:sz w:val="24"/>
          <w:szCs w:val="24"/>
        </w:rPr>
        <w:t>re</w:t>
      </w:r>
      <w:r w:rsidRPr="00DB38DC">
        <w:rPr>
          <w:rFonts w:ascii="Times New Roman" w:hAnsi="Times New Roman" w:cs="Times New Roman"/>
          <w:bCs/>
          <w:sz w:val="24"/>
          <w:szCs w:val="24"/>
        </w:rPr>
        <w:t>search cond</w:t>
      </w:r>
      <w:r w:rsidR="0026571C" w:rsidRPr="00DB38DC">
        <w:rPr>
          <w:rFonts w:ascii="Times New Roman" w:hAnsi="Times New Roman" w:cs="Times New Roman"/>
          <w:bCs/>
          <w:sz w:val="24"/>
          <w:szCs w:val="24"/>
        </w:rPr>
        <w:t xml:space="preserve">ucted on different aspects of </w:t>
      </w:r>
      <w:r w:rsidRPr="00DB38DC">
        <w:rPr>
          <w:rFonts w:ascii="Times New Roman" w:hAnsi="Times New Roman" w:cs="Times New Roman"/>
          <w:bCs/>
          <w:sz w:val="24"/>
          <w:szCs w:val="24"/>
        </w:rPr>
        <w:t>mergers driven by consolidated resources to achieve economies of scale and increase competitiveness in the dynamic bankin</w:t>
      </w:r>
      <w:r w:rsidR="0026571C" w:rsidRPr="00DB38DC">
        <w:rPr>
          <w:rFonts w:ascii="Times New Roman" w:hAnsi="Times New Roman" w:cs="Times New Roman"/>
          <w:bCs/>
          <w:sz w:val="24"/>
          <w:szCs w:val="24"/>
        </w:rPr>
        <w:t>g environment. Alahli Bank and S</w:t>
      </w:r>
      <w:r w:rsidRPr="00DB38DC">
        <w:rPr>
          <w:rFonts w:ascii="Times New Roman" w:hAnsi="Times New Roman" w:cs="Times New Roman"/>
          <w:bCs/>
          <w:sz w:val="24"/>
          <w:szCs w:val="24"/>
        </w:rPr>
        <w:t xml:space="preserve">amba created complementary strengths and shared commitment to deliver superior financial services to their customers. </w:t>
      </w:r>
      <w:r w:rsidR="0026571C" w:rsidRPr="00DB38DC">
        <w:rPr>
          <w:rFonts w:ascii="Times New Roman" w:hAnsi="Times New Roman" w:cs="Times New Roman"/>
          <w:bCs/>
          <w:sz w:val="24"/>
          <w:szCs w:val="24"/>
        </w:rPr>
        <w:t>T</w:t>
      </w:r>
      <w:r w:rsidRPr="00DB38DC">
        <w:rPr>
          <w:rFonts w:ascii="Times New Roman" w:hAnsi="Times New Roman" w:cs="Times New Roman"/>
          <w:bCs/>
          <w:sz w:val="24"/>
          <w:szCs w:val="24"/>
        </w:rPr>
        <w:t>he financial analysis is based on discounted cash flow analysis to estimate the present value of per proje</w:t>
      </w:r>
      <w:r w:rsidR="0026571C" w:rsidRPr="00DB38DC">
        <w:rPr>
          <w:rFonts w:ascii="Times New Roman" w:hAnsi="Times New Roman" w:cs="Times New Roman"/>
          <w:bCs/>
          <w:sz w:val="24"/>
          <w:szCs w:val="24"/>
        </w:rPr>
        <w:t>cted cash flow and pre and post-</w:t>
      </w:r>
      <w:r w:rsidRPr="00DB38DC">
        <w:rPr>
          <w:rFonts w:ascii="Times New Roman" w:hAnsi="Times New Roman" w:cs="Times New Roman"/>
          <w:bCs/>
          <w:sz w:val="24"/>
          <w:szCs w:val="24"/>
        </w:rPr>
        <w:t xml:space="preserve">merger valuation. </w:t>
      </w:r>
      <w:r w:rsidR="0026571C" w:rsidRPr="00DB38DC">
        <w:rPr>
          <w:rFonts w:ascii="Times New Roman" w:hAnsi="Times New Roman" w:cs="Times New Roman"/>
          <w:bCs/>
          <w:sz w:val="24"/>
          <w:szCs w:val="24"/>
        </w:rPr>
        <w:t>F</w:t>
      </w:r>
      <w:r w:rsidRPr="00DB38DC">
        <w:rPr>
          <w:rFonts w:ascii="Times New Roman" w:hAnsi="Times New Roman" w:cs="Times New Roman"/>
          <w:bCs/>
          <w:sz w:val="24"/>
          <w:szCs w:val="24"/>
        </w:rPr>
        <w:t>inancial ratio analysis is also conducted by calculating specific ratios before and after the merger that provide information about the market share analysis.</w:t>
      </w:r>
    </w:p>
    <w:p w:rsidR="00F64CCC" w:rsidRPr="00DB38DC" w:rsidRDefault="001C4334" w:rsidP="00DB38DC">
      <w:pPr>
        <w:numPr>
          <w:ilvl w:val="0"/>
          <w:numId w:val="1"/>
        </w:numPr>
        <w:spacing w:line="360" w:lineRule="auto"/>
        <w:rPr>
          <w:rFonts w:ascii="Times New Roman" w:hAnsi="Times New Roman" w:cs="Times New Roman"/>
          <w:sz w:val="24"/>
          <w:szCs w:val="24"/>
        </w:rPr>
      </w:pPr>
      <w:r w:rsidRPr="00DB38DC">
        <w:rPr>
          <w:rFonts w:ascii="Times New Roman" w:hAnsi="Times New Roman" w:cs="Times New Roman"/>
          <w:b/>
          <w:bCs/>
          <w:sz w:val="24"/>
          <w:szCs w:val="24"/>
        </w:rPr>
        <w:t>DCF (Discounted Cash Flow) Analysis</w:t>
      </w:r>
      <w:r w:rsidRPr="00DB38DC">
        <w:rPr>
          <w:rFonts w:ascii="Times New Roman" w:hAnsi="Times New Roman" w:cs="Times New Roman"/>
          <w:sz w:val="24"/>
          <w:szCs w:val="24"/>
        </w:rPr>
        <w:t>:</w:t>
      </w:r>
    </w:p>
    <w:p w:rsidR="00E56E51" w:rsidRPr="001F1438" w:rsidRDefault="001C4334" w:rsidP="00DB38DC">
      <w:pPr>
        <w:spacing w:line="360" w:lineRule="auto"/>
        <w:rPr>
          <w:rFonts w:ascii="Times New Roman" w:eastAsia="Times New Roman" w:hAnsi="Times New Roman" w:cs="Times New Roman"/>
          <w:bCs/>
          <w:kern w:val="0"/>
          <w:sz w:val="24"/>
          <w:szCs w:val="24"/>
        </w:rPr>
      </w:pPr>
      <w:r w:rsidRPr="00DB38DC">
        <w:rPr>
          <w:rFonts w:ascii="Times New Roman" w:hAnsi="Times New Roman" w:cs="Times New Roman"/>
          <w:sz w:val="24"/>
          <w:szCs w:val="24"/>
        </w:rPr>
        <w:t xml:space="preserve">The discounted cash flow analysis </w:t>
      </w:r>
      <w:r w:rsidR="004F45B1">
        <w:rPr>
          <w:rFonts w:ascii="Times New Roman" w:hAnsi="Times New Roman" w:cs="Times New Roman"/>
          <w:sz w:val="24"/>
          <w:szCs w:val="24"/>
        </w:rPr>
        <w:t xml:space="preserve">represents that </w:t>
      </w:r>
      <w:r w:rsidRPr="00DB38DC">
        <w:rPr>
          <w:rFonts w:ascii="Times New Roman" w:hAnsi="Times New Roman" w:cs="Times New Roman"/>
          <w:sz w:val="24"/>
          <w:szCs w:val="24"/>
        </w:rPr>
        <w:t>the value of investment in the future</w:t>
      </w:r>
      <w:r w:rsidR="00F82249">
        <w:rPr>
          <w:rFonts w:ascii="Times New Roman" w:hAnsi="Times New Roman" w:cs="Times New Roman"/>
          <w:sz w:val="24"/>
          <w:szCs w:val="24"/>
        </w:rPr>
        <w:t xml:space="preserve"> will be SAR </w:t>
      </w:r>
      <w:r w:rsidR="005C7608" w:rsidRPr="005C7608">
        <w:rPr>
          <w:rFonts w:ascii="Times New Roman" w:eastAsia="Times New Roman" w:hAnsi="Times New Roman" w:cs="Times New Roman"/>
          <w:bCs/>
          <w:color w:val="000000"/>
          <w:kern w:val="0"/>
          <w:sz w:val="24"/>
          <w:szCs w:val="24"/>
        </w:rPr>
        <w:t>10</w:t>
      </w:r>
      <w:r w:rsidR="00C10356">
        <w:rPr>
          <w:rFonts w:ascii="Times New Roman" w:eastAsia="Times New Roman" w:hAnsi="Times New Roman" w:cs="Times New Roman"/>
          <w:bCs/>
          <w:color w:val="000000"/>
          <w:kern w:val="0"/>
          <w:sz w:val="24"/>
          <w:szCs w:val="24"/>
        </w:rPr>
        <w:t>,</w:t>
      </w:r>
      <w:r w:rsidR="005C7608" w:rsidRPr="005C7608">
        <w:rPr>
          <w:rFonts w:ascii="Times New Roman" w:eastAsia="Times New Roman" w:hAnsi="Times New Roman" w:cs="Times New Roman"/>
          <w:bCs/>
          <w:color w:val="000000"/>
          <w:kern w:val="0"/>
          <w:sz w:val="24"/>
          <w:szCs w:val="24"/>
        </w:rPr>
        <w:t>098</w:t>
      </w:r>
      <w:r w:rsidR="00C10356">
        <w:rPr>
          <w:rFonts w:ascii="Times New Roman" w:eastAsia="Times New Roman" w:hAnsi="Times New Roman" w:cs="Times New Roman"/>
          <w:bCs/>
          <w:color w:val="000000"/>
          <w:kern w:val="0"/>
          <w:sz w:val="24"/>
          <w:szCs w:val="24"/>
        </w:rPr>
        <w:t>,</w:t>
      </w:r>
      <w:r w:rsidR="005C7608" w:rsidRPr="005C7608">
        <w:rPr>
          <w:rFonts w:ascii="Times New Roman" w:eastAsia="Times New Roman" w:hAnsi="Times New Roman" w:cs="Times New Roman"/>
          <w:bCs/>
          <w:color w:val="000000"/>
          <w:kern w:val="0"/>
          <w:sz w:val="24"/>
          <w:szCs w:val="24"/>
        </w:rPr>
        <w:t>460.59</w:t>
      </w:r>
      <w:r w:rsidR="00F82249" w:rsidRPr="005C7608">
        <w:rPr>
          <w:rFonts w:ascii="Times New Roman" w:hAnsi="Times New Roman" w:cs="Times New Roman"/>
          <w:sz w:val="24"/>
          <w:szCs w:val="24"/>
        </w:rPr>
        <w:t>as</w:t>
      </w:r>
      <w:r w:rsidR="00F82249">
        <w:rPr>
          <w:rFonts w:ascii="Times New Roman" w:hAnsi="Times New Roman" w:cs="Times New Roman"/>
          <w:sz w:val="24"/>
          <w:szCs w:val="24"/>
        </w:rPr>
        <w:t xml:space="preserve"> it is assumed that </w:t>
      </w:r>
      <w:r w:rsidR="00F82249" w:rsidRPr="00DB38DC">
        <w:rPr>
          <w:rFonts w:ascii="Times New Roman" w:hAnsi="Times New Roman" w:cs="Times New Roman"/>
          <w:sz w:val="24"/>
          <w:szCs w:val="24"/>
        </w:rPr>
        <w:t>the</w:t>
      </w:r>
      <w:r w:rsidR="00F82249">
        <w:rPr>
          <w:rFonts w:ascii="Times New Roman" w:hAnsi="Times New Roman" w:cs="Times New Roman"/>
          <w:sz w:val="24"/>
          <w:szCs w:val="24"/>
        </w:rPr>
        <w:t xml:space="preserve"> initial investments is SAR 21,276.78 million. </w:t>
      </w:r>
      <w:r w:rsidR="00B903D2" w:rsidRPr="00DB38DC">
        <w:rPr>
          <w:rFonts w:ascii="Times New Roman" w:hAnsi="Times New Roman" w:cs="Times New Roman"/>
          <w:sz w:val="24"/>
          <w:szCs w:val="24"/>
        </w:rPr>
        <w:t>The</w:t>
      </w:r>
      <w:r w:rsidR="00B903D2">
        <w:rPr>
          <w:rFonts w:ascii="Times New Roman" w:hAnsi="Times New Roman" w:cs="Times New Roman"/>
          <w:sz w:val="24"/>
          <w:szCs w:val="24"/>
        </w:rPr>
        <w:t xml:space="preserve"> growth rate is 3% assumed for</w:t>
      </w:r>
      <w:r w:rsidR="00B903D2" w:rsidRPr="00DB38DC">
        <w:rPr>
          <w:rFonts w:ascii="Times New Roman" w:hAnsi="Times New Roman" w:cs="Times New Roman"/>
          <w:sz w:val="24"/>
          <w:szCs w:val="24"/>
        </w:rPr>
        <w:t>the</w:t>
      </w:r>
      <w:r w:rsidR="00B903D2">
        <w:rPr>
          <w:rFonts w:ascii="Times New Roman" w:hAnsi="Times New Roman" w:cs="Times New Roman"/>
          <w:sz w:val="24"/>
          <w:szCs w:val="24"/>
        </w:rPr>
        <w:t xml:space="preserve"> period of 20 years. </w:t>
      </w:r>
      <w:r w:rsidRPr="00DB38DC">
        <w:rPr>
          <w:rFonts w:ascii="Times New Roman" w:hAnsi="Times New Roman" w:cs="Times New Roman"/>
          <w:sz w:val="24"/>
          <w:szCs w:val="24"/>
        </w:rPr>
        <w:t xml:space="preserve"> DCF analysis helps determine the value of investment today based on projections made for the future by considering the time value of money</w:t>
      </w:r>
      <w:sdt>
        <w:sdtPr>
          <w:rPr>
            <w:rFonts w:ascii="Times New Roman" w:hAnsi="Times New Roman" w:cs="Times New Roman"/>
            <w:sz w:val="24"/>
            <w:szCs w:val="24"/>
          </w:rPr>
          <w:id w:val="2077241619"/>
          <w:citation/>
        </w:sdtPr>
        <w:sdtContent>
          <w:r w:rsidR="004814B8">
            <w:rPr>
              <w:rFonts w:ascii="Times New Roman" w:hAnsi="Times New Roman" w:cs="Times New Roman"/>
              <w:sz w:val="24"/>
              <w:szCs w:val="24"/>
            </w:rPr>
            <w:fldChar w:fldCharType="begin"/>
          </w:r>
          <w:r w:rsidR="008906F3">
            <w:rPr>
              <w:rFonts w:ascii="Times New Roman" w:hAnsi="Times New Roman" w:cs="Times New Roman"/>
              <w:sz w:val="24"/>
              <w:szCs w:val="24"/>
            </w:rPr>
            <w:instrText xml:space="preserve"> CITATION Rah141 \l 1033 </w:instrText>
          </w:r>
          <w:r w:rsidR="004814B8">
            <w:rPr>
              <w:rFonts w:ascii="Times New Roman" w:hAnsi="Times New Roman" w:cs="Times New Roman"/>
              <w:sz w:val="24"/>
              <w:szCs w:val="24"/>
            </w:rPr>
            <w:fldChar w:fldCharType="separate"/>
          </w:r>
          <w:r w:rsidR="008906F3" w:rsidRPr="008906F3">
            <w:rPr>
              <w:rFonts w:ascii="Times New Roman" w:hAnsi="Times New Roman" w:cs="Times New Roman"/>
              <w:noProof/>
              <w:sz w:val="24"/>
              <w:szCs w:val="24"/>
            </w:rPr>
            <w:t>(Rahatullah, 2014)</w:t>
          </w:r>
          <w:r w:rsidR="004814B8">
            <w:rPr>
              <w:rFonts w:ascii="Times New Roman" w:hAnsi="Times New Roman" w:cs="Times New Roman"/>
              <w:sz w:val="24"/>
              <w:szCs w:val="24"/>
            </w:rPr>
            <w:fldChar w:fldCharType="end"/>
          </w:r>
        </w:sdtContent>
      </w:sdt>
      <w:r w:rsidRPr="00DB38DC">
        <w:rPr>
          <w:rFonts w:ascii="Times New Roman" w:hAnsi="Times New Roman" w:cs="Times New Roman"/>
          <w:sz w:val="24"/>
          <w:szCs w:val="24"/>
        </w:rPr>
        <w:t>.</w:t>
      </w:r>
      <w:r w:rsidR="005C7608" w:rsidRPr="00DB38DC">
        <w:rPr>
          <w:rFonts w:ascii="Times New Roman" w:hAnsi="Times New Roman" w:cs="Times New Roman"/>
          <w:sz w:val="24"/>
          <w:szCs w:val="24"/>
        </w:rPr>
        <w:t>The</w:t>
      </w:r>
      <w:r w:rsidR="005C7608">
        <w:rPr>
          <w:rFonts w:ascii="Times New Roman" w:hAnsi="Times New Roman" w:cs="Times New Roman"/>
          <w:sz w:val="24"/>
          <w:szCs w:val="24"/>
        </w:rPr>
        <w:t xml:space="preserve">refore, </w:t>
      </w:r>
      <w:r w:rsidR="005C7608" w:rsidRPr="00DB38DC">
        <w:rPr>
          <w:rFonts w:ascii="Times New Roman" w:hAnsi="Times New Roman" w:cs="Times New Roman"/>
          <w:sz w:val="24"/>
          <w:szCs w:val="24"/>
        </w:rPr>
        <w:t>the</w:t>
      </w:r>
      <w:r w:rsidR="005C7608">
        <w:rPr>
          <w:rFonts w:ascii="Times New Roman" w:hAnsi="Times New Roman" w:cs="Times New Roman"/>
          <w:sz w:val="24"/>
          <w:szCs w:val="24"/>
        </w:rPr>
        <w:t xml:space="preserve"> following calculations represent that</w:t>
      </w:r>
      <w:r w:rsidR="00C10356">
        <w:rPr>
          <w:rFonts w:ascii="Times New Roman" w:hAnsi="Times New Roman" w:cs="Times New Roman"/>
          <w:sz w:val="24"/>
          <w:szCs w:val="24"/>
        </w:rPr>
        <w:t xml:space="preserve">future value of </w:t>
      </w:r>
      <w:r w:rsidR="00C10356" w:rsidRPr="001F1438">
        <w:rPr>
          <w:rFonts w:ascii="Times New Roman" w:hAnsi="Times New Roman" w:cs="Times New Roman"/>
          <w:sz w:val="24"/>
          <w:szCs w:val="24"/>
        </w:rPr>
        <w:t xml:space="preserve">investment is SAR </w:t>
      </w:r>
      <w:r w:rsidR="00C10356" w:rsidRPr="001F1438">
        <w:rPr>
          <w:rFonts w:ascii="Times New Roman" w:eastAsia="Times New Roman" w:hAnsi="Times New Roman" w:cs="Times New Roman"/>
          <w:bCs/>
          <w:kern w:val="0"/>
          <w:sz w:val="24"/>
          <w:szCs w:val="24"/>
        </w:rPr>
        <w:t xml:space="preserve">10,098,460.59. </w:t>
      </w:r>
    </w:p>
    <w:p w:rsidR="00D010B5" w:rsidRPr="001F1438" w:rsidRDefault="00D010B5" w:rsidP="00D010B5">
      <w:pPr>
        <w:rPr>
          <w:rFonts w:ascii="Times New Roman" w:hAnsi="Times New Roman" w:cs="Times New Roman"/>
          <w:sz w:val="24"/>
          <w:szCs w:val="24"/>
        </w:rPr>
      </w:pPr>
      <w:r w:rsidRPr="001F1438">
        <w:rPr>
          <w:rFonts w:ascii="Times New Roman" w:hAnsi="Times New Roman" w:cs="Times New Roman"/>
          <w:sz w:val="24"/>
          <w:szCs w:val="24"/>
        </w:rPr>
        <w:t>WACC= E/V</w:t>
      </w:r>
      <w:r w:rsidR="001F1438" w:rsidRPr="001F1438">
        <w:rPr>
          <w:rFonts w:ascii="Times New Roman" w:hAnsi="Times New Roman" w:cs="Times New Roman"/>
          <w:sz w:val="24"/>
          <w:szCs w:val="24"/>
        </w:rPr>
        <w:t>​×</w:t>
      </w:r>
      <w:r w:rsidRPr="001F1438">
        <w:rPr>
          <w:rFonts w:ascii="Times New Roman" w:hAnsi="Times New Roman" w:cs="Times New Roman"/>
          <w:sz w:val="24"/>
          <w:szCs w:val="24"/>
        </w:rPr>
        <w:t xml:space="preserve"> R</w:t>
      </w:r>
      <w:r w:rsidRPr="001F1438">
        <w:rPr>
          <w:rFonts w:ascii="Times New Roman" w:hAnsi="Times New Roman" w:cs="Times New Roman"/>
          <w:sz w:val="24"/>
          <w:szCs w:val="24"/>
          <w:vertAlign w:val="subscript"/>
        </w:rPr>
        <w:t>e</w:t>
      </w:r>
      <w:r w:rsidRPr="001F1438">
        <w:rPr>
          <w:rFonts w:ascii="Times New Roman" w:hAnsi="Times New Roman" w:cs="Times New Roman"/>
          <w:sz w:val="24"/>
          <w:szCs w:val="24"/>
        </w:rPr>
        <w:t>+D/V​×R</w:t>
      </w:r>
      <w:r w:rsidRPr="001F1438">
        <w:rPr>
          <w:rFonts w:ascii="Times New Roman" w:hAnsi="Times New Roman" w:cs="Times New Roman"/>
          <w:sz w:val="24"/>
          <w:szCs w:val="24"/>
          <w:vertAlign w:val="subscript"/>
        </w:rPr>
        <w:t xml:space="preserve">d </w:t>
      </w:r>
      <w:r w:rsidRPr="001F1438">
        <w:rPr>
          <w:rFonts w:ascii="Times New Roman" w:hAnsi="Times New Roman" w:cs="Times New Roman"/>
          <w:sz w:val="24"/>
          <w:szCs w:val="24"/>
        </w:rPr>
        <w:t>×(1−Tc)</w:t>
      </w:r>
    </w:p>
    <w:p w:rsidR="00E83D8D" w:rsidRPr="001F1438" w:rsidRDefault="00E83D8D" w:rsidP="00E83D8D">
      <w:pPr>
        <w:rPr>
          <w:rFonts w:ascii="Times New Roman" w:hAnsi="Times New Roman" w:cs="Times New Roman"/>
          <w:sz w:val="24"/>
          <w:szCs w:val="24"/>
        </w:rPr>
      </w:pPr>
      <w:r w:rsidRPr="001F1438">
        <w:rPr>
          <w:rFonts w:ascii="Times New Roman" w:hAnsi="Times New Roman" w:cs="Times New Roman"/>
          <w:sz w:val="24"/>
          <w:szCs w:val="24"/>
        </w:rPr>
        <w:t>It is assumed that:</w:t>
      </w:r>
    </w:p>
    <w:p w:rsidR="00E83D8D" w:rsidRPr="001F1438" w:rsidRDefault="00E83D8D" w:rsidP="00E83D8D">
      <w:pPr>
        <w:rPr>
          <w:rFonts w:ascii="Times New Roman" w:hAnsi="Times New Roman" w:cs="Times New Roman"/>
          <w:sz w:val="24"/>
          <w:szCs w:val="24"/>
        </w:rPr>
      </w:pPr>
      <w:r w:rsidRPr="001F1438">
        <w:rPr>
          <w:rFonts w:ascii="Times New Roman" w:hAnsi="Times New Roman" w:cs="Times New Roman"/>
          <w:sz w:val="24"/>
          <w:szCs w:val="24"/>
        </w:rPr>
        <w:t xml:space="preserve">Cost of equity (Re) is 12% </w:t>
      </w:r>
    </w:p>
    <w:p w:rsidR="00E83D8D" w:rsidRPr="001F1438" w:rsidRDefault="00E83D8D" w:rsidP="00E83D8D">
      <w:pPr>
        <w:rPr>
          <w:rFonts w:ascii="Times New Roman" w:hAnsi="Times New Roman" w:cs="Times New Roman"/>
          <w:sz w:val="24"/>
          <w:szCs w:val="24"/>
        </w:rPr>
      </w:pPr>
      <w:r w:rsidRPr="001F1438">
        <w:rPr>
          <w:rFonts w:ascii="Times New Roman" w:hAnsi="Times New Roman" w:cs="Times New Roman"/>
          <w:sz w:val="24"/>
          <w:szCs w:val="24"/>
        </w:rPr>
        <w:t xml:space="preserve">Cost of debt (Rd) is 4% </w:t>
      </w:r>
    </w:p>
    <w:p w:rsidR="00E83D8D" w:rsidRPr="001F1438" w:rsidRDefault="00E83D8D" w:rsidP="00E83D8D">
      <w:pPr>
        <w:rPr>
          <w:rFonts w:ascii="Times New Roman" w:hAnsi="Times New Roman" w:cs="Times New Roman"/>
          <w:sz w:val="24"/>
          <w:szCs w:val="24"/>
        </w:rPr>
      </w:pPr>
      <w:r w:rsidRPr="001F1438">
        <w:rPr>
          <w:rFonts w:ascii="Times New Roman" w:hAnsi="Times New Roman" w:cs="Times New Roman"/>
          <w:sz w:val="24"/>
          <w:szCs w:val="24"/>
        </w:rPr>
        <w:t>Corporate tax rate in Saudi Arabia is 20%</w:t>
      </w:r>
    </w:p>
    <w:p w:rsidR="008822F3" w:rsidRPr="001F1438" w:rsidRDefault="008822F3" w:rsidP="008822F3">
      <w:pPr>
        <w:rPr>
          <w:rFonts w:ascii="Times New Roman" w:hAnsi="Times New Roman" w:cs="Times New Roman"/>
          <w:sz w:val="24"/>
          <w:szCs w:val="24"/>
        </w:rPr>
      </w:pPr>
      <w:r w:rsidRPr="001F1438">
        <w:rPr>
          <w:rFonts w:ascii="Times New Roman" w:hAnsi="Times New Roman" w:cs="Times New Roman"/>
          <w:sz w:val="24"/>
          <w:szCs w:val="24"/>
        </w:rPr>
        <w:t>WACC = (</w:t>
      </w:r>
      <w:r w:rsidR="00571F7E" w:rsidRPr="001F1438">
        <w:rPr>
          <w:rFonts w:ascii="Times New Roman" w:hAnsi="Times New Roman" w:cs="Times New Roman"/>
          <w:sz w:val="24"/>
          <w:szCs w:val="24"/>
        </w:rPr>
        <w:t>150,485.63</w:t>
      </w:r>
      <w:r w:rsidRPr="001F1438">
        <w:rPr>
          <w:rFonts w:ascii="Times New Roman" w:hAnsi="Times New Roman" w:cs="Times New Roman"/>
          <w:sz w:val="24"/>
          <w:szCs w:val="24"/>
        </w:rPr>
        <w:t>/ 166,777.63​× 0.12</w:t>
      </w:r>
      <w:r w:rsidR="001F1438" w:rsidRPr="001F1438">
        <w:rPr>
          <w:rFonts w:ascii="Times New Roman" w:hAnsi="Times New Roman" w:cs="Times New Roman"/>
          <w:sz w:val="24"/>
          <w:szCs w:val="24"/>
        </w:rPr>
        <w:t>) +</w:t>
      </w:r>
      <w:r w:rsidRPr="001F1438">
        <w:rPr>
          <w:rFonts w:ascii="Times New Roman" w:hAnsi="Times New Roman" w:cs="Times New Roman"/>
          <w:sz w:val="24"/>
          <w:szCs w:val="24"/>
        </w:rPr>
        <w:t>(</w:t>
      </w:r>
      <w:r w:rsidR="00BD4789" w:rsidRPr="001F1438">
        <w:rPr>
          <w:rFonts w:ascii="Times New Roman" w:hAnsi="Times New Roman" w:cs="Times New Roman"/>
          <w:sz w:val="24"/>
          <w:szCs w:val="24"/>
        </w:rPr>
        <w:t>15,487.50</w:t>
      </w:r>
      <w:r w:rsidR="00FD29A6" w:rsidRPr="001F1438">
        <w:rPr>
          <w:rFonts w:ascii="Times New Roman" w:hAnsi="Times New Roman" w:cs="Times New Roman"/>
          <w:sz w:val="24"/>
          <w:szCs w:val="24"/>
        </w:rPr>
        <w:t xml:space="preserve">/ </w:t>
      </w:r>
      <w:r w:rsidRPr="001F1438">
        <w:rPr>
          <w:rFonts w:ascii="Times New Roman" w:hAnsi="Times New Roman" w:cs="Times New Roman"/>
          <w:sz w:val="24"/>
          <w:szCs w:val="24"/>
        </w:rPr>
        <w:t>166,777.63​×0.04×(1−0.20))</w:t>
      </w:r>
    </w:p>
    <w:p w:rsidR="00FD29A6" w:rsidRPr="001F1438" w:rsidRDefault="00FD29A6" w:rsidP="008822F3">
      <w:pPr>
        <w:rPr>
          <w:rFonts w:ascii="Times New Roman" w:hAnsi="Times New Roman" w:cs="Times New Roman"/>
          <w:sz w:val="24"/>
          <w:szCs w:val="24"/>
        </w:rPr>
      </w:pPr>
      <w:r w:rsidRPr="001F1438">
        <w:rPr>
          <w:rFonts w:ascii="Times New Roman" w:hAnsi="Times New Roman" w:cs="Times New Roman"/>
          <w:sz w:val="24"/>
          <w:szCs w:val="24"/>
        </w:rPr>
        <w:t xml:space="preserve">= </w:t>
      </w:r>
      <w:r w:rsidR="00BD4789" w:rsidRPr="001F1438">
        <w:rPr>
          <w:rFonts w:ascii="Times New Roman" w:hAnsi="Times New Roman" w:cs="Times New Roman"/>
          <w:sz w:val="24"/>
          <w:szCs w:val="24"/>
        </w:rPr>
        <w:t>0.9015×0.10) + (0.0985× 0.04 × 0.80</w:t>
      </w:r>
    </w:p>
    <w:p w:rsidR="00BD4789" w:rsidRPr="001F1438" w:rsidRDefault="00BD4789" w:rsidP="00BD4789">
      <w:pPr>
        <w:rPr>
          <w:rFonts w:ascii="Times New Roman" w:hAnsi="Times New Roman" w:cs="Times New Roman"/>
          <w:sz w:val="24"/>
          <w:szCs w:val="24"/>
        </w:rPr>
      </w:pPr>
      <w:r w:rsidRPr="001F1438">
        <w:rPr>
          <w:rFonts w:ascii="Times New Roman" w:hAnsi="Times New Roman" w:cs="Times New Roman"/>
          <w:sz w:val="24"/>
          <w:szCs w:val="24"/>
        </w:rPr>
        <w:t>= 0.09015+0.003136</w:t>
      </w:r>
    </w:p>
    <w:p w:rsidR="008B5386" w:rsidRPr="001F1438" w:rsidRDefault="002D4E50" w:rsidP="008822F3">
      <w:pPr>
        <w:rPr>
          <w:rFonts w:ascii="Times New Roman" w:hAnsi="Times New Roman" w:cs="Times New Roman"/>
          <w:sz w:val="24"/>
          <w:szCs w:val="24"/>
        </w:rPr>
      </w:pPr>
      <w:r w:rsidRPr="001F1438">
        <w:rPr>
          <w:rFonts w:ascii="Times New Roman" w:hAnsi="Times New Roman" w:cs="Times New Roman"/>
          <w:sz w:val="24"/>
          <w:szCs w:val="24"/>
        </w:rPr>
        <w:t xml:space="preserve">= </w:t>
      </w:r>
      <w:r w:rsidR="00BD4789" w:rsidRPr="001F1438">
        <w:rPr>
          <w:rFonts w:ascii="Times New Roman" w:hAnsi="Times New Roman" w:cs="Times New Roman"/>
          <w:sz w:val="24"/>
          <w:szCs w:val="24"/>
        </w:rPr>
        <w:t xml:space="preserve">0.093286 </w:t>
      </w:r>
    </w:p>
    <w:p w:rsidR="00BD4789" w:rsidRPr="001F1438" w:rsidRDefault="00BD4789" w:rsidP="008822F3">
      <w:pPr>
        <w:rPr>
          <w:rFonts w:ascii="Times New Roman" w:hAnsi="Times New Roman" w:cs="Times New Roman"/>
          <w:sz w:val="24"/>
          <w:szCs w:val="24"/>
        </w:rPr>
      </w:pPr>
      <w:r w:rsidRPr="001F1438">
        <w:rPr>
          <w:rFonts w:ascii="Times New Roman" w:hAnsi="Times New Roman" w:cs="Times New Roman"/>
          <w:sz w:val="24"/>
          <w:szCs w:val="24"/>
        </w:rPr>
        <w:lastRenderedPageBreak/>
        <w:t xml:space="preserve">Now WACC is approximately 10%.  </w:t>
      </w:r>
    </w:p>
    <w:p w:rsidR="00D010B5" w:rsidRPr="00DB38DC" w:rsidRDefault="00D010B5" w:rsidP="00DB38DC">
      <w:pPr>
        <w:spacing w:line="360" w:lineRule="auto"/>
        <w:rPr>
          <w:rFonts w:ascii="Times New Roman" w:hAnsi="Times New Roman" w:cs="Times New Roman"/>
          <w:sz w:val="24"/>
          <w:szCs w:val="24"/>
        </w:rPr>
      </w:pPr>
    </w:p>
    <w:tbl>
      <w:tblPr>
        <w:tblStyle w:val="TableGrid"/>
        <w:tblW w:w="5780" w:type="dxa"/>
        <w:jc w:val="center"/>
        <w:tblLook w:val="04A0"/>
      </w:tblPr>
      <w:tblGrid>
        <w:gridCol w:w="4280"/>
        <w:gridCol w:w="1500"/>
      </w:tblGrid>
      <w:tr w:rsidR="00173AD6" w:rsidTr="00E56E51">
        <w:trPr>
          <w:trHeight w:val="290"/>
          <w:jc w:val="center"/>
        </w:trPr>
        <w:tc>
          <w:tcPr>
            <w:tcW w:w="4280" w:type="dxa"/>
            <w:noWrap/>
            <w:hideMark/>
          </w:tcPr>
          <w:p w:rsidR="00F64CCC" w:rsidRPr="00F64CCC" w:rsidRDefault="001C4334" w:rsidP="00DB38DC">
            <w:pPr>
              <w:spacing w:after="0" w:line="360" w:lineRule="auto"/>
              <w:jc w:val="center"/>
              <w:rPr>
                <w:rFonts w:ascii="Times New Roman" w:eastAsia="Times New Roman" w:hAnsi="Times New Roman" w:cs="Times New Roman"/>
                <w:b/>
                <w:bCs/>
                <w:color w:val="000000"/>
                <w:kern w:val="0"/>
                <w:sz w:val="24"/>
                <w:szCs w:val="24"/>
              </w:rPr>
            </w:pPr>
            <w:r w:rsidRPr="00F64CCC">
              <w:rPr>
                <w:rFonts w:ascii="Times New Roman" w:eastAsia="Times New Roman" w:hAnsi="Times New Roman" w:cs="Times New Roman"/>
                <w:b/>
                <w:bCs/>
                <w:color w:val="000000"/>
                <w:kern w:val="0"/>
                <w:sz w:val="24"/>
                <w:szCs w:val="24"/>
              </w:rPr>
              <w:t>DCF (Discounted Cash Flow) Analysis</w:t>
            </w:r>
          </w:p>
        </w:tc>
        <w:tc>
          <w:tcPr>
            <w:tcW w:w="1500" w:type="dxa"/>
            <w:noWrap/>
            <w:hideMark/>
          </w:tcPr>
          <w:p w:rsidR="00F64CCC" w:rsidRPr="00F64CCC" w:rsidRDefault="00F64CCC" w:rsidP="00DB38DC">
            <w:pPr>
              <w:spacing w:after="0" w:line="360" w:lineRule="auto"/>
              <w:rPr>
                <w:rFonts w:ascii="Times New Roman" w:eastAsia="Times New Roman" w:hAnsi="Times New Roman" w:cs="Times New Roman"/>
                <w:color w:val="000000"/>
                <w:kern w:val="0"/>
                <w:sz w:val="24"/>
                <w:szCs w:val="24"/>
              </w:rPr>
            </w:pPr>
          </w:p>
        </w:tc>
      </w:tr>
      <w:tr w:rsidR="00173AD6" w:rsidTr="00E56E51">
        <w:trPr>
          <w:trHeight w:val="310"/>
          <w:jc w:val="center"/>
        </w:trPr>
        <w:tc>
          <w:tcPr>
            <w:tcW w:w="4280" w:type="dxa"/>
            <w:noWrap/>
            <w:hideMark/>
          </w:tcPr>
          <w:p w:rsidR="00F64CCC" w:rsidRPr="00F64CCC" w:rsidRDefault="001C4334" w:rsidP="00DB38DC">
            <w:pPr>
              <w:spacing w:after="0" w:line="360" w:lineRule="auto"/>
              <w:rPr>
                <w:rFonts w:ascii="Times New Roman" w:eastAsia="Times New Roman" w:hAnsi="Times New Roman" w:cs="Times New Roman"/>
                <w:kern w:val="0"/>
                <w:sz w:val="24"/>
                <w:szCs w:val="24"/>
              </w:rPr>
            </w:pPr>
            <w:r w:rsidRPr="00F64CCC">
              <w:rPr>
                <w:rFonts w:ascii="Times New Roman" w:eastAsia="Times New Roman" w:hAnsi="Times New Roman" w:cs="Times New Roman"/>
                <w:kern w:val="0"/>
                <w:sz w:val="24"/>
                <w:szCs w:val="24"/>
              </w:rPr>
              <w:t>FCF_2022 = 21,276.78 million SAR</w:t>
            </w:r>
          </w:p>
        </w:tc>
        <w:tc>
          <w:tcPr>
            <w:tcW w:w="1500" w:type="dxa"/>
            <w:noWrap/>
            <w:hideMark/>
          </w:tcPr>
          <w:p w:rsidR="00F64CCC" w:rsidRPr="00F64CCC" w:rsidRDefault="00F64CCC" w:rsidP="00DB38DC">
            <w:pPr>
              <w:spacing w:after="0" w:line="360" w:lineRule="auto"/>
              <w:rPr>
                <w:rFonts w:ascii="Times New Roman" w:eastAsia="Times New Roman" w:hAnsi="Times New Roman" w:cs="Times New Roman"/>
                <w:color w:val="000000"/>
                <w:kern w:val="0"/>
                <w:sz w:val="24"/>
                <w:szCs w:val="24"/>
              </w:rPr>
            </w:pPr>
          </w:p>
        </w:tc>
      </w:tr>
      <w:tr w:rsidR="00173AD6" w:rsidTr="00E56E51">
        <w:trPr>
          <w:trHeight w:val="310"/>
          <w:jc w:val="center"/>
        </w:trPr>
        <w:tc>
          <w:tcPr>
            <w:tcW w:w="4280" w:type="dxa"/>
            <w:noWrap/>
            <w:hideMark/>
          </w:tcPr>
          <w:p w:rsidR="00F64CCC" w:rsidRPr="00F64CCC" w:rsidRDefault="001C4334" w:rsidP="00DB38DC">
            <w:pPr>
              <w:spacing w:after="0" w:line="360" w:lineRule="auto"/>
              <w:rPr>
                <w:rFonts w:ascii="Times New Roman" w:eastAsia="Times New Roman" w:hAnsi="Times New Roman" w:cs="Times New Roman"/>
                <w:kern w:val="0"/>
                <w:sz w:val="24"/>
                <w:szCs w:val="24"/>
              </w:rPr>
            </w:pPr>
            <w:r w:rsidRPr="00F64CCC">
              <w:rPr>
                <w:rFonts w:ascii="Times New Roman" w:eastAsia="Times New Roman" w:hAnsi="Times New Roman" w:cs="Times New Roman"/>
                <w:kern w:val="0"/>
                <w:sz w:val="24"/>
                <w:szCs w:val="24"/>
              </w:rPr>
              <w:t>Growth Rate = 3%</w:t>
            </w:r>
          </w:p>
        </w:tc>
        <w:tc>
          <w:tcPr>
            <w:tcW w:w="1500" w:type="dxa"/>
            <w:noWrap/>
            <w:hideMark/>
          </w:tcPr>
          <w:p w:rsidR="00F64CCC" w:rsidRPr="00F64CCC" w:rsidRDefault="00F64CCC" w:rsidP="00DB38DC">
            <w:pPr>
              <w:spacing w:after="0" w:line="360" w:lineRule="auto"/>
              <w:rPr>
                <w:rFonts w:ascii="Times New Roman" w:eastAsia="Times New Roman" w:hAnsi="Times New Roman" w:cs="Times New Roman"/>
                <w:color w:val="000000"/>
                <w:kern w:val="0"/>
                <w:sz w:val="24"/>
                <w:szCs w:val="24"/>
              </w:rPr>
            </w:pPr>
          </w:p>
        </w:tc>
      </w:tr>
      <w:tr w:rsidR="00173AD6" w:rsidTr="00E56E51">
        <w:trPr>
          <w:trHeight w:val="310"/>
          <w:jc w:val="center"/>
        </w:trPr>
        <w:tc>
          <w:tcPr>
            <w:tcW w:w="4280" w:type="dxa"/>
            <w:noWrap/>
            <w:hideMark/>
          </w:tcPr>
          <w:p w:rsidR="00F64CCC" w:rsidRPr="00F64CCC" w:rsidRDefault="002D4694" w:rsidP="00DB38DC">
            <w:pPr>
              <w:spacing w:after="0"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Discount Rate = 10</w:t>
            </w:r>
            <w:r w:rsidR="001C4334" w:rsidRPr="00F64CCC">
              <w:rPr>
                <w:rFonts w:ascii="Times New Roman" w:eastAsia="Times New Roman" w:hAnsi="Times New Roman" w:cs="Times New Roman"/>
                <w:kern w:val="0"/>
                <w:sz w:val="24"/>
                <w:szCs w:val="24"/>
              </w:rPr>
              <w:t>%</w:t>
            </w:r>
          </w:p>
        </w:tc>
        <w:tc>
          <w:tcPr>
            <w:tcW w:w="1500" w:type="dxa"/>
            <w:noWrap/>
            <w:hideMark/>
          </w:tcPr>
          <w:p w:rsidR="00F64CCC" w:rsidRPr="00F64CCC" w:rsidRDefault="00F64CCC" w:rsidP="00DB38DC">
            <w:pPr>
              <w:spacing w:after="0" w:line="360" w:lineRule="auto"/>
              <w:rPr>
                <w:rFonts w:ascii="Times New Roman" w:eastAsia="Times New Roman" w:hAnsi="Times New Roman" w:cs="Times New Roman"/>
                <w:color w:val="000000"/>
                <w:kern w:val="0"/>
                <w:sz w:val="24"/>
                <w:szCs w:val="24"/>
              </w:rPr>
            </w:pPr>
          </w:p>
        </w:tc>
      </w:tr>
      <w:tr w:rsidR="00173AD6" w:rsidTr="00E56E51">
        <w:trPr>
          <w:trHeight w:val="310"/>
          <w:jc w:val="center"/>
        </w:trPr>
        <w:tc>
          <w:tcPr>
            <w:tcW w:w="4280" w:type="dxa"/>
            <w:noWrap/>
            <w:hideMark/>
          </w:tcPr>
          <w:p w:rsidR="00F64CCC" w:rsidRPr="00F64CCC" w:rsidRDefault="001C4334" w:rsidP="00DB38DC">
            <w:pPr>
              <w:spacing w:after="0" w:line="360" w:lineRule="auto"/>
              <w:rPr>
                <w:rFonts w:ascii="Times New Roman" w:eastAsia="Times New Roman" w:hAnsi="Times New Roman" w:cs="Times New Roman"/>
                <w:kern w:val="0"/>
                <w:sz w:val="24"/>
                <w:szCs w:val="24"/>
              </w:rPr>
            </w:pPr>
            <w:r w:rsidRPr="00F64CCC">
              <w:rPr>
                <w:rFonts w:ascii="Times New Roman" w:eastAsia="Times New Roman" w:hAnsi="Times New Roman" w:cs="Times New Roman"/>
                <w:kern w:val="0"/>
                <w:sz w:val="24"/>
                <w:szCs w:val="24"/>
              </w:rPr>
              <w:t>Perpetual Growth Rate = 3%</w:t>
            </w:r>
          </w:p>
        </w:tc>
        <w:tc>
          <w:tcPr>
            <w:tcW w:w="1500" w:type="dxa"/>
            <w:noWrap/>
            <w:hideMark/>
          </w:tcPr>
          <w:p w:rsidR="00F64CCC" w:rsidRPr="00F64CCC" w:rsidRDefault="00F64CCC" w:rsidP="00DB38DC">
            <w:pPr>
              <w:spacing w:after="0" w:line="360" w:lineRule="auto"/>
              <w:rPr>
                <w:rFonts w:ascii="Times New Roman" w:eastAsia="Times New Roman" w:hAnsi="Times New Roman" w:cs="Times New Roman"/>
                <w:color w:val="000000"/>
                <w:kern w:val="0"/>
                <w:sz w:val="24"/>
                <w:szCs w:val="24"/>
              </w:rPr>
            </w:pPr>
          </w:p>
        </w:tc>
      </w:tr>
      <w:tr w:rsidR="00173AD6" w:rsidTr="00E56E51">
        <w:trPr>
          <w:trHeight w:val="310"/>
          <w:jc w:val="center"/>
        </w:trPr>
        <w:tc>
          <w:tcPr>
            <w:tcW w:w="4280" w:type="dxa"/>
            <w:noWrap/>
            <w:hideMark/>
          </w:tcPr>
          <w:p w:rsidR="00F64CCC" w:rsidRPr="00F64CCC" w:rsidRDefault="001C4334" w:rsidP="00DB38DC">
            <w:pPr>
              <w:spacing w:after="0" w:line="360" w:lineRule="auto"/>
              <w:rPr>
                <w:rFonts w:ascii="Times New Roman" w:eastAsia="Times New Roman" w:hAnsi="Times New Roman" w:cs="Times New Roman"/>
                <w:kern w:val="0"/>
                <w:sz w:val="24"/>
                <w:szCs w:val="24"/>
              </w:rPr>
            </w:pPr>
            <w:r w:rsidRPr="00F64CCC">
              <w:rPr>
                <w:rFonts w:ascii="Times New Roman" w:eastAsia="Times New Roman" w:hAnsi="Times New Roman" w:cs="Times New Roman"/>
                <w:kern w:val="0"/>
                <w:sz w:val="24"/>
                <w:szCs w:val="24"/>
              </w:rPr>
              <w:t>terminal value = FCF (t+1)/r-g</w:t>
            </w:r>
          </w:p>
        </w:tc>
        <w:tc>
          <w:tcPr>
            <w:tcW w:w="1500" w:type="dxa"/>
            <w:noWrap/>
            <w:hideMark/>
          </w:tcPr>
          <w:p w:rsidR="00F64CCC" w:rsidRPr="00F64CCC" w:rsidRDefault="001C4334" w:rsidP="00DB38DC">
            <w:pPr>
              <w:spacing w:after="0" w:line="360" w:lineRule="auto"/>
              <w:jc w:val="right"/>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1</w:t>
            </w:r>
            <w:r w:rsidR="004F45B1">
              <w:rPr>
                <w:rFonts w:ascii="Times New Roman" w:eastAsia="Times New Roman" w:hAnsi="Times New Roman" w:cs="Times New Roman"/>
                <w:color w:val="000000"/>
                <w:kern w:val="0"/>
                <w:sz w:val="24"/>
                <w:szCs w:val="24"/>
              </w:rPr>
              <w:t>,</w:t>
            </w:r>
            <w:r w:rsidRPr="00F64CCC">
              <w:rPr>
                <w:rFonts w:ascii="Times New Roman" w:eastAsia="Times New Roman" w:hAnsi="Times New Roman" w:cs="Times New Roman"/>
                <w:color w:val="000000"/>
                <w:kern w:val="0"/>
                <w:sz w:val="24"/>
                <w:szCs w:val="24"/>
              </w:rPr>
              <w:t>276</w:t>
            </w:r>
            <w:r w:rsidR="004F45B1">
              <w:rPr>
                <w:rFonts w:ascii="Times New Roman" w:eastAsia="Times New Roman" w:hAnsi="Times New Roman" w:cs="Times New Roman"/>
                <w:color w:val="000000"/>
                <w:kern w:val="0"/>
                <w:sz w:val="24"/>
                <w:szCs w:val="24"/>
              </w:rPr>
              <w:t>,</w:t>
            </w:r>
            <w:r w:rsidRPr="00F64CCC">
              <w:rPr>
                <w:rFonts w:ascii="Times New Roman" w:eastAsia="Times New Roman" w:hAnsi="Times New Roman" w:cs="Times New Roman"/>
                <w:color w:val="000000"/>
                <w:kern w:val="0"/>
                <w:sz w:val="24"/>
                <w:szCs w:val="24"/>
              </w:rPr>
              <w:t>606.77</w:t>
            </w:r>
          </w:p>
        </w:tc>
      </w:tr>
    </w:tbl>
    <w:p w:rsidR="00824E99" w:rsidRPr="00DB38DC" w:rsidRDefault="00824E99" w:rsidP="00DB38DC">
      <w:pPr>
        <w:spacing w:line="360" w:lineRule="auto"/>
        <w:rPr>
          <w:rFonts w:ascii="Times New Roman" w:hAnsi="Times New Roman" w:cs="Times New Roman"/>
          <w:sz w:val="24"/>
          <w:szCs w:val="24"/>
        </w:rPr>
      </w:pPr>
    </w:p>
    <w:tbl>
      <w:tblPr>
        <w:tblStyle w:val="TableGrid"/>
        <w:tblW w:w="6820" w:type="dxa"/>
        <w:jc w:val="center"/>
        <w:tblLook w:val="04A0"/>
      </w:tblPr>
      <w:tblGrid>
        <w:gridCol w:w="1500"/>
        <w:gridCol w:w="1820"/>
        <w:gridCol w:w="1680"/>
        <w:gridCol w:w="1820"/>
      </w:tblGrid>
      <w:tr w:rsidR="00173AD6" w:rsidTr="00E56E51">
        <w:trPr>
          <w:trHeight w:val="310"/>
          <w:jc w:val="center"/>
        </w:trPr>
        <w:tc>
          <w:tcPr>
            <w:tcW w:w="1500" w:type="dxa"/>
            <w:noWrap/>
            <w:hideMark/>
          </w:tcPr>
          <w:p w:rsidR="00F64CCC" w:rsidRPr="00F64CCC" w:rsidRDefault="001C4334" w:rsidP="00DB38DC">
            <w:pPr>
              <w:spacing w:after="0" w:line="360" w:lineRule="auto"/>
              <w:jc w:val="center"/>
              <w:rPr>
                <w:rFonts w:ascii="Times New Roman" w:eastAsia="Times New Roman" w:hAnsi="Times New Roman" w:cs="Times New Roman"/>
                <w:b/>
                <w:bCs/>
                <w:color w:val="000000"/>
                <w:kern w:val="0"/>
                <w:sz w:val="24"/>
                <w:szCs w:val="24"/>
              </w:rPr>
            </w:pPr>
            <w:r w:rsidRPr="00F64CCC">
              <w:rPr>
                <w:rFonts w:ascii="Times New Roman" w:eastAsia="Times New Roman" w:hAnsi="Times New Roman" w:cs="Times New Roman"/>
                <w:b/>
                <w:bCs/>
                <w:color w:val="000000"/>
                <w:kern w:val="0"/>
                <w:sz w:val="24"/>
                <w:szCs w:val="24"/>
              </w:rPr>
              <w:t>Years</w:t>
            </w:r>
          </w:p>
        </w:tc>
        <w:tc>
          <w:tcPr>
            <w:tcW w:w="1820" w:type="dxa"/>
            <w:noWrap/>
            <w:hideMark/>
          </w:tcPr>
          <w:p w:rsidR="00F64CCC" w:rsidRPr="00F64CCC" w:rsidRDefault="001C4334" w:rsidP="00DB38DC">
            <w:pPr>
              <w:spacing w:after="0" w:line="360" w:lineRule="auto"/>
              <w:jc w:val="center"/>
              <w:rPr>
                <w:rFonts w:ascii="Times New Roman" w:eastAsia="Times New Roman" w:hAnsi="Times New Roman" w:cs="Times New Roman"/>
                <w:b/>
                <w:bCs/>
                <w:kern w:val="0"/>
                <w:sz w:val="24"/>
                <w:szCs w:val="24"/>
              </w:rPr>
            </w:pPr>
            <w:r w:rsidRPr="00F64CCC">
              <w:rPr>
                <w:rFonts w:ascii="Times New Roman" w:eastAsia="Times New Roman" w:hAnsi="Times New Roman" w:cs="Times New Roman"/>
                <w:b/>
                <w:bCs/>
                <w:kern w:val="0"/>
                <w:sz w:val="24"/>
                <w:szCs w:val="24"/>
              </w:rPr>
              <w:t>FCF (million SAR)</w:t>
            </w:r>
          </w:p>
        </w:tc>
        <w:tc>
          <w:tcPr>
            <w:tcW w:w="1680" w:type="dxa"/>
            <w:noWrap/>
            <w:hideMark/>
          </w:tcPr>
          <w:p w:rsidR="00F64CCC" w:rsidRPr="00F64CCC" w:rsidRDefault="001C4334" w:rsidP="00DB38DC">
            <w:pPr>
              <w:spacing w:after="0" w:line="360" w:lineRule="auto"/>
              <w:jc w:val="center"/>
              <w:rPr>
                <w:rFonts w:ascii="Times New Roman" w:eastAsia="Times New Roman" w:hAnsi="Times New Roman" w:cs="Times New Roman"/>
                <w:b/>
                <w:bCs/>
                <w:kern w:val="0"/>
                <w:sz w:val="24"/>
                <w:szCs w:val="24"/>
              </w:rPr>
            </w:pPr>
            <w:r w:rsidRPr="00F64CCC">
              <w:rPr>
                <w:rFonts w:ascii="Times New Roman" w:eastAsia="Times New Roman" w:hAnsi="Times New Roman" w:cs="Times New Roman"/>
                <w:b/>
                <w:bCs/>
                <w:kern w:val="0"/>
                <w:sz w:val="24"/>
                <w:szCs w:val="24"/>
              </w:rPr>
              <w:t>Discount Factor</w:t>
            </w:r>
          </w:p>
        </w:tc>
        <w:tc>
          <w:tcPr>
            <w:tcW w:w="1820" w:type="dxa"/>
            <w:noWrap/>
            <w:hideMark/>
          </w:tcPr>
          <w:p w:rsidR="00F64CCC" w:rsidRPr="00F64CCC" w:rsidRDefault="001C4334" w:rsidP="00DB38DC">
            <w:pPr>
              <w:spacing w:after="0" w:line="360" w:lineRule="auto"/>
              <w:jc w:val="center"/>
              <w:rPr>
                <w:rFonts w:ascii="Times New Roman" w:eastAsia="Times New Roman" w:hAnsi="Times New Roman" w:cs="Times New Roman"/>
                <w:b/>
                <w:bCs/>
                <w:kern w:val="0"/>
                <w:sz w:val="24"/>
                <w:szCs w:val="24"/>
              </w:rPr>
            </w:pPr>
            <w:r w:rsidRPr="00F64CCC">
              <w:rPr>
                <w:rFonts w:ascii="Times New Roman" w:eastAsia="Times New Roman" w:hAnsi="Times New Roman" w:cs="Times New Roman"/>
                <w:b/>
                <w:bCs/>
                <w:kern w:val="0"/>
                <w:sz w:val="24"/>
                <w:szCs w:val="24"/>
              </w:rPr>
              <w:t>Discounted FCF</w:t>
            </w:r>
          </w:p>
        </w:tc>
      </w:tr>
      <w:tr w:rsidR="00173AD6" w:rsidTr="00E56E51">
        <w:trPr>
          <w:trHeight w:val="290"/>
          <w:jc w:val="center"/>
        </w:trPr>
        <w:tc>
          <w:tcPr>
            <w:tcW w:w="150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2022</w:t>
            </w:r>
          </w:p>
        </w:tc>
        <w:tc>
          <w:tcPr>
            <w:tcW w:w="182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21,276.78</w:t>
            </w:r>
          </w:p>
        </w:tc>
        <w:tc>
          <w:tcPr>
            <w:tcW w:w="168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1.1</w:t>
            </w:r>
          </w:p>
        </w:tc>
        <w:tc>
          <w:tcPr>
            <w:tcW w:w="182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23404.458</w:t>
            </w:r>
          </w:p>
        </w:tc>
      </w:tr>
      <w:tr w:rsidR="00173AD6" w:rsidTr="00E56E51">
        <w:trPr>
          <w:trHeight w:val="290"/>
          <w:jc w:val="center"/>
        </w:trPr>
        <w:tc>
          <w:tcPr>
            <w:tcW w:w="150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2023</w:t>
            </w:r>
          </w:p>
        </w:tc>
        <w:tc>
          <w:tcPr>
            <w:tcW w:w="182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23404.458</w:t>
            </w:r>
          </w:p>
        </w:tc>
        <w:tc>
          <w:tcPr>
            <w:tcW w:w="168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1.21</w:t>
            </w:r>
          </w:p>
        </w:tc>
        <w:tc>
          <w:tcPr>
            <w:tcW w:w="182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28319.39418</w:t>
            </w:r>
          </w:p>
        </w:tc>
      </w:tr>
      <w:tr w:rsidR="00173AD6" w:rsidTr="00E56E51">
        <w:trPr>
          <w:trHeight w:val="290"/>
          <w:jc w:val="center"/>
        </w:trPr>
        <w:tc>
          <w:tcPr>
            <w:tcW w:w="150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2024</w:t>
            </w:r>
          </w:p>
        </w:tc>
        <w:tc>
          <w:tcPr>
            <w:tcW w:w="182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28319.39418</w:t>
            </w:r>
          </w:p>
        </w:tc>
        <w:tc>
          <w:tcPr>
            <w:tcW w:w="168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1.331</w:t>
            </w:r>
          </w:p>
        </w:tc>
        <w:tc>
          <w:tcPr>
            <w:tcW w:w="182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37693.11365</w:t>
            </w:r>
          </w:p>
        </w:tc>
      </w:tr>
      <w:tr w:rsidR="00173AD6" w:rsidTr="00E56E51">
        <w:trPr>
          <w:trHeight w:val="290"/>
          <w:jc w:val="center"/>
        </w:trPr>
        <w:tc>
          <w:tcPr>
            <w:tcW w:w="150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2025</w:t>
            </w:r>
          </w:p>
        </w:tc>
        <w:tc>
          <w:tcPr>
            <w:tcW w:w="182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37693.11365</w:t>
            </w:r>
          </w:p>
        </w:tc>
        <w:tc>
          <w:tcPr>
            <w:tcW w:w="168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1.4641</w:t>
            </w:r>
          </w:p>
        </w:tc>
        <w:tc>
          <w:tcPr>
            <w:tcW w:w="182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55186.4877</w:t>
            </w:r>
          </w:p>
        </w:tc>
      </w:tr>
      <w:tr w:rsidR="00173AD6" w:rsidTr="00E56E51">
        <w:trPr>
          <w:trHeight w:val="290"/>
          <w:jc w:val="center"/>
        </w:trPr>
        <w:tc>
          <w:tcPr>
            <w:tcW w:w="150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2026</w:t>
            </w:r>
          </w:p>
        </w:tc>
        <w:tc>
          <w:tcPr>
            <w:tcW w:w="182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55186.4877</w:t>
            </w:r>
          </w:p>
        </w:tc>
        <w:tc>
          <w:tcPr>
            <w:tcW w:w="168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1.61051</w:t>
            </w:r>
          </w:p>
        </w:tc>
        <w:tc>
          <w:tcPr>
            <w:tcW w:w="182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88878.39031</w:t>
            </w:r>
          </w:p>
        </w:tc>
      </w:tr>
      <w:tr w:rsidR="00173AD6" w:rsidTr="00E56E51">
        <w:trPr>
          <w:trHeight w:val="310"/>
          <w:jc w:val="center"/>
        </w:trPr>
        <w:tc>
          <w:tcPr>
            <w:tcW w:w="1500" w:type="dxa"/>
            <w:noWrap/>
            <w:hideMark/>
          </w:tcPr>
          <w:p w:rsidR="00F64CCC" w:rsidRPr="00F64CCC" w:rsidRDefault="001C4334" w:rsidP="00DB38DC">
            <w:pPr>
              <w:spacing w:after="0" w:line="360" w:lineRule="auto"/>
              <w:jc w:val="center"/>
              <w:rPr>
                <w:rFonts w:ascii="Times New Roman" w:eastAsia="Times New Roman" w:hAnsi="Times New Roman" w:cs="Times New Roman"/>
                <w:color w:val="303030"/>
                <w:kern w:val="0"/>
                <w:sz w:val="24"/>
                <w:szCs w:val="24"/>
              </w:rPr>
            </w:pPr>
            <w:r w:rsidRPr="00F64CCC">
              <w:rPr>
                <w:rFonts w:ascii="Times New Roman" w:eastAsia="Times New Roman" w:hAnsi="Times New Roman" w:cs="Times New Roman"/>
                <w:color w:val="303030"/>
                <w:kern w:val="0"/>
                <w:sz w:val="24"/>
                <w:szCs w:val="24"/>
              </w:rPr>
              <w:t>TV</w:t>
            </w:r>
          </w:p>
        </w:tc>
        <w:tc>
          <w:tcPr>
            <w:tcW w:w="182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1276606.77</w:t>
            </w:r>
          </w:p>
        </w:tc>
        <w:tc>
          <w:tcPr>
            <w:tcW w:w="168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7.727499949</w:t>
            </w:r>
          </w:p>
        </w:tc>
        <w:tc>
          <w:tcPr>
            <w:tcW w:w="1820" w:type="dxa"/>
            <w:noWrap/>
            <w:hideMark/>
          </w:tcPr>
          <w:p w:rsidR="00F64CCC" w:rsidRPr="00F64CCC" w:rsidRDefault="001C4334" w:rsidP="00DB38DC">
            <w:pPr>
              <w:spacing w:after="0" w:line="360" w:lineRule="auto"/>
              <w:jc w:val="center"/>
              <w:rPr>
                <w:rFonts w:ascii="Times New Roman" w:eastAsia="Times New Roman" w:hAnsi="Times New Roman" w:cs="Times New Roman"/>
                <w:color w:val="000000"/>
                <w:kern w:val="0"/>
                <w:sz w:val="24"/>
                <w:szCs w:val="24"/>
              </w:rPr>
            </w:pPr>
            <w:r w:rsidRPr="00F64CCC">
              <w:rPr>
                <w:rFonts w:ascii="Times New Roman" w:eastAsia="Times New Roman" w:hAnsi="Times New Roman" w:cs="Times New Roman"/>
                <w:color w:val="000000"/>
                <w:kern w:val="0"/>
                <w:sz w:val="24"/>
                <w:szCs w:val="24"/>
              </w:rPr>
              <w:t>9864978.75</w:t>
            </w:r>
          </w:p>
        </w:tc>
      </w:tr>
      <w:tr w:rsidR="00173AD6" w:rsidTr="00E56E51">
        <w:trPr>
          <w:trHeight w:val="290"/>
          <w:jc w:val="center"/>
        </w:trPr>
        <w:tc>
          <w:tcPr>
            <w:tcW w:w="1500" w:type="dxa"/>
            <w:noWrap/>
            <w:hideMark/>
          </w:tcPr>
          <w:p w:rsidR="00F64CCC" w:rsidRPr="00F64CCC" w:rsidRDefault="001C4334" w:rsidP="00DB38DC">
            <w:pPr>
              <w:spacing w:after="0" w:line="360" w:lineRule="auto"/>
              <w:jc w:val="center"/>
              <w:rPr>
                <w:rFonts w:ascii="Times New Roman" w:eastAsia="Times New Roman" w:hAnsi="Times New Roman" w:cs="Times New Roman"/>
                <w:b/>
                <w:color w:val="000000"/>
                <w:kern w:val="0"/>
                <w:sz w:val="24"/>
                <w:szCs w:val="24"/>
              </w:rPr>
            </w:pPr>
            <w:r w:rsidRPr="00F64CCC">
              <w:rPr>
                <w:rFonts w:ascii="Times New Roman" w:eastAsia="Times New Roman" w:hAnsi="Times New Roman" w:cs="Times New Roman"/>
                <w:b/>
                <w:color w:val="000000"/>
                <w:kern w:val="0"/>
                <w:sz w:val="24"/>
                <w:szCs w:val="24"/>
              </w:rPr>
              <w:t>PV of FCF</w:t>
            </w:r>
          </w:p>
        </w:tc>
        <w:tc>
          <w:tcPr>
            <w:tcW w:w="1820" w:type="dxa"/>
            <w:noWrap/>
            <w:hideMark/>
          </w:tcPr>
          <w:p w:rsidR="00F64CCC" w:rsidRPr="00F64CCC" w:rsidRDefault="00F64CCC" w:rsidP="00DB38DC">
            <w:pPr>
              <w:spacing w:after="0" w:line="360" w:lineRule="auto"/>
              <w:jc w:val="center"/>
              <w:rPr>
                <w:rFonts w:ascii="Times New Roman" w:eastAsia="Times New Roman" w:hAnsi="Times New Roman" w:cs="Times New Roman"/>
                <w:color w:val="000000"/>
                <w:kern w:val="0"/>
                <w:sz w:val="24"/>
                <w:szCs w:val="24"/>
              </w:rPr>
            </w:pPr>
          </w:p>
        </w:tc>
        <w:tc>
          <w:tcPr>
            <w:tcW w:w="1680" w:type="dxa"/>
            <w:noWrap/>
            <w:hideMark/>
          </w:tcPr>
          <w:p w:rsidR="00F64CCC" w:rsidRPr="00F64CCC" w:rsidRDefault="00F64CCC" w:rsidP="00DB38DC">
            <w:pPr>
              <w:spacing w:after="0" w:line="360" w:lineRule="auto"/>
              <w:jc w:val="center"/>
              <w:rPr>
                <w:rFonts w:ascii="Times New Roman" w:eastAsia="Times New Roman" w:hAnsi="Times New Roman" w:cs="Times New Roman"/>
                <w:color w:val="000000"/>
                <w:kern w:val="0"/>
                <w:sz w:val="24"/>
                <w:szCs w:val="24"/>
              </w:rPr>
            </w:pPr>
          </w:p>
        </w:tc>
        <w:tc>
          <w:tcPr>
            <w:tcW w:w="1820" w:type="dxa"/>
            <w:noWrap/>
            <w:hideMark/>
          </w:tcPr>
          <w:p w:rsidR="00F64CCC" w:rsidRPr="00F64CCC" w:rsidRDefault="001C4334" w:rsidP="00DB38DC">
            <w:pPr>
              <w:spacing w:after="0" w:line="360" w:lineRule="auto"/>
              <w:jc w:val="center"/>
              <w:rPr>
                <w:rFonts w:ascii="Times New Roman" w:eastAsia="Times New Roman" w:hAnsi="Times New Roman" w:cs="Times New Roman"/>
                <w:b/>
                <w:bCs/>
                <w:color w:val="000000"/>
                <w:kern w:val="0"/>
                <w:sz w:val="24"/>
                <w:szCs w:val="24"/>
              </w:rPr>
            </w:pPr>
            <w:r w:rsidRPr="00F64CCC">
              <w:rPr>
                <w:rFonts w:ascii="Times New Roman" w:eastAsia="Times New Roman" w:hAnsi="Times New Roman" w:cs="Times New Roman"/>
                <w:b/>
                <w:bCs/>
                <w:color w:val="000000"/>
                <w:kern w:val="0"/>
                <w:sz w:val="24"/>
                <w:szCs w:val="24"/>
              </w:rPr>
              <w:t>10</w:t>
            </w:r>
            <w:r w:rsidR="00C10356">
              <w:rPr>
                <w:rFonts w:ascii="Times New Roman" w:eastAsia="Times New Roman" w:hAnsi="Times New Roman" w:cs="Times New Roman"/>
                <w:b/>
                <w:bCs/>
                <w:color w:val="000000"/>
                <w:kern w:val="0"/>
                <w:sz w:val="24"/>
                <w:szCs w:val="24"/>
              </w:rPr>
              <w:t>,</w:t>
            </w:r>
            <w:r w:rsidRPr="00F64CCC">
              <w:rPr>
                <w:rFonts w:ascii="Times New Roman" w:eastAsia="Times New Roman" w:hAnsi="Times New Roman" w:cs="Times New Roman"/>
                <w:b/>
                <w:bCs/>
                <w:color w:val="000000"/>
                <w:kern w:val="0"/>
                <w:sz w:val="24"/>
                <w:szCs w:val="24"/>
              </w:rPr>
              <w:t>098</w:t>
            </w:r>
            <w:r w:rsidR="00C10356">
              <w:rPr>
                <w:rFonts w:ascii="Times New Roman" w:eastAsia="Times New Roman" w:hAnsi="Times New Roman" w:cs="Times New Roman"/>
                <w:b/>
                <w:bCs/>
                <w:color w:val="000000"/>
                <w:kern w:val="0"/>
                <w:sz w:val="24"/>
                <w:szCs w:val="24"/>
              </w:rPr>
              <w:t>,</w:t>
            </w:r>
            <w:r w:rsidRPr="00F64CCC">
              <w:rPr>
                <w:rFonts w:ascii="Times New Roman" w:eastAsia="Times New Roman" w:hAnsi="Times New Roman" w:cs="Times New Roman"/>
                <w:b/>
                <w:bCs/>
                <w:color w:val="000000"/>
                <w:kern w:val="0"/>
                <w:sz w:val="24"/>
                <w:szCs w:val="24"/>
              </w:rPr>
              <w:t>460.59</w:t>
            </w:r>
          </w:p>
        </w:tc>
      </w:tr>
    </w:tbl>
    <w:p w:rsidR="00F64CCC" w:rsidRPr="00DB38DC" w:rsidRDefault="00F64CCC" w:rsidP="00DB38DC">
      <w:pPr>
        <w:spacing w:line="360" w:lineRule="auto"/>
        <w:rPr>
          <w:rFonts w:ascii="Times New Roman" w:hAnsi="Times New Roman" w:cs="Times New Roman"/>
          <w:sz w:val="24"/>
          <w:szCs w:val="24"/>
        </w:rPr>
      </w:pPr>
    </w:p>
    <w:p w:rsidR="00E56E51" w:rsidRPr="00DB38DC" w:rsidRDefault="001C4334" w:rsidP="00DB38DC">
      <w:pPr>
        <w:spacing w:line="360" w:lineRule="auto"/>
        <w:jc w:val="both"/>
        <w:rPr>
          <w:rFonts w:ascii="Times New Roman" w:hAnsi="Times New Roman" w:cs="Times New Roman"/>
          <w:sz w:val="24"/>
          <w:szCs w:val="24"/>
        </w:rPr>
      </w:pPr>
      <w:r w:rsidRPr="00DB38DC">
        <w:rPr>
          <w:rFonts w:ascii="Times New Roman" w:hAnsi="Times New Roman" w:cs="Times New Roman"/>
          <w:sz w:val="24"/>
          <w:szCs w:val="24"/>
        </w:rPr>
        <w:t xml:space="preserve">In the given DCF analysis, it is assumed that the free cash flow for 2022 is SAR 21276.78 million. The growth rate is 3% and the discount rate is 10% which is assumed and represents the minimum rate of return. The perpetual growth rate is 3% and it is assumed that </w:t>
      </w:r>
      <w:r w:rsidR="00F82216" w:rsidRPr="00DB38DC">
        <w:rPr>
          <w:rFonts w:ascii="Times New Roman" w:hAnsi="Times New Roman" w:cs="Times New Roman"/>
          <w:sz w:val="24"/>
          <w:szCs w:val="24"/>
        </w:rPr>
        <w:t>the long-term growth rate of</w:t>
      </w:r>
      <w:r w:rsidRPr="00DB38DC">
        <w:rPr>
          <w:rFonts w:ascii="Times New Roman" w:hAnsi="Times New Roman" w:cs="Times New Roman"/>
          <w:sz w:val="24"/>
          <w:szCs w:val="24"/>
        </w:rPr>
        <w:t xml:space="preserve"> free cash flow is used in perpetuity calculation. </w:t>
      </w:r>
      <w:r w:rsidR="00F82216" w:rsidRPr="00DB38DC">
        <w:rPr>
          <w:rFonts w:ascii="Times New Roman" w:hAnsi="Times New Roman" w:cs="Times New Roman"/>
          <w:sz w:val="24"/>
          <w:szCs w:val="24"/>
        </w:rPr>
        <w:t>T</w:t>
      </w:r>
      <w:r w:rsidRPr="00DB38DC">
        <w:rPr>
          <w:rFonts w:ascii="Times New Roman" w:hAnsi="Times New Roman" w:cs="Times New Roman"/>
          <w:sz w:val="24"/>
          <w:szCs w:val="24"/>
        </w:rPr>
        <w:t>he cash flow is calculated over 20 years</w:t>
      </w:r>
      <w:sdt>
        <w:sdtPr>
          <w:rPr>
            <w:rFonts w:ascii="Times New Roman" w:hAnsi="Times New Roman" w:cs="Times New Roman"/>
            <w:sz w:val="24"/>
            <w:szCs w:val="24"/>
          </w:rPr>
          <w:id w:val="-1302061901"/>
          <w:citation/>
        </w:sdtPr>
        <w:sdtContent>
          <w:r w:rsidR="004814B8">
            <w:rPr>
              <w:rFonts w:ascii="Times New Roman" w:hAnsi="Times New Roman" w:cs="Times New Roman"/>
              <w:sz w:val="24"/>
              <w:szCs w:val="24"/>
            </w:rPr>
            <w:fldChar w:fldCharType="begin"/>
          </w:r>
          <w:r w:rsidR="00334369">
            <w:rPr>
              <w:rFonts w:ascii="Times New Roman" w:hAnsi="Times New Roman" w:cs="Times New Roman"/>
              <w:sz w:val="24"/>
              <w:szCs w:val="24"/>
            </w:rPr>
            <w:instrText xml:space="preserve"> CITATION Alo202 \l 1033 </w:instrText>
          </w:r>
          <w:r w:rsidR="004814B8">
            <w:rPr>
              <w:rFonts w:ascii="Times New Roman" w:hAnsi="Times New Roman" w:cs="Times New Roman"/>
              <w:sz w:val="24"/>
              <w:szCs w:val="24"/>
            </w:rPr>
            <w:fldChar w:fldCharType="separate"/>
          </w:r>
          <w:r w:rsidR="00334369" w:rsidRPr="00334369">
            <w:rPr>
              <w:rFonts w:ascii="Times New Roman" w:hAnsi="Times New Roman" w:cs="Times New Roman"/>
              <w:noProof/>
              <w:sz w:val="24"/>
              <w:szCs w:val="24"/>
            </w:rPr>
            <w:t>(Alothman &amp; AL-MAHISH., 2020)</w:t>
          </w:r>
          <w:r w:rsidR="004814B8">
            <w:rPr>
              <w:rFonts w:ascii="Times New Roman" w:hAnsi="Times New Roman" w:cs="Times New Roman"/>
              <w:sz w:val="24"/>
              <w:szCs w:val="24"/>
            </w:rPr>
            <w:fldChar w:fldCharType="end"/>
          </w:r>
        </w:sdtContent>
      </w:sdt>
      <w:r w:rsidRPr="00DB38DC">
        <w:rPr>
          <w:rFonts w:ascii="Times New Roman" w:hAnsi="Times New Roman" w:cs="Times New Roman"/>
          <w:sz w:val="24"/>
          <w:szCs w:val="24"/>
        </w:rPr>
        <w:t>. The assu</w:t>
      </w:r>
      <w:r w:rsidR="00F82216" w:rsidRPr="00DB38DC">
        <w:rPr>
          <w:rFonts w:ascii="Times New Roman" w:hAnsi="Times New Roman" w:cs="Times New Roman"/>
          <w:sz w:val="24"/>
          <w:szCs w:val="24"/>
        </w:rPr>
        <w:t>mptions including revenue growth, synergy,</w:t>
      </w:r>
      <w:r w:rsidRPr="00DB38DC">
        <w:rPr>
          <w:rFonts w:ascii="Times New Roman" w:hAnsi="Times New Roman" w:cs="Times New Roman"/>
          <w:sz w:val="24"/>
          <w:szCs w:val="24"/>
        </w:rPr>
        <w:t xml:space="preserve"> discount rate, and terminal value help estimate the future value of the organization. It is significant to note that</w:t>
      </w:r>
      <w:r w:rsidR="00743F84" w:rsidRPr="00DB38DC">
        <w:rPr>
          <w:rFonts w:ascii="Times New Roman" w:hAnsi="Times New Roman" w:cs="Times New Roman"/>
          <w:sz w:val="24"/>
          <w:szCs w:val="24"/>
        </w:rPr>
        <w:t xml:space="preserve"> these</w:t>
      </w:r>
      <w:r w:rsidRPr="00DB38DC">
        <w:rPr>
          <w:rFonts w:ascii="Times New Roman" w:hAnsi="Times New Roman" w:cs="Times New Roman"/>
          <w:sz w:val="24"/>
          <w:szCs w:val="24"/>
        </w:rPr>
        <w:t xml:space="preserve"> calculations are based on the assumptions that could be adjusted to get valuable information about the company by estimating the intrinsic value of a company based on the expected future cash flow.</w:t>
      </w:r>
    </w:p>
    <w:p w:rsidR="00743F84" w:rsidRPr="00DB38DC" w:rsidRDefault="001C4334" w:rsidP="00DB38DC">
      <w:pPr>
        <w:pStyle w:val="ListParagraph"/>
        <w:numPr>
          <w:ilvl w:val="0"/>
          <w:numId w:val="1"/>
        </w:numPr>
        <w:spacing w:line="360" w:lineRule="auto"/>
        <w:jc w:val="both"/>
        <w:rPr>
          <w:rFonts w:ascii="Times New Roman" w:hAnsi="Times New Roman" w:cs="Times New Roman"/>
          <w:sz w:val="24"/>
          <w:szCs w:val="24"/>
        </w:rPr>
      </w:pPr>
      <w:r w:rsidRPr="00DB38DC">
        <w:rPr>
          <w:rFonts w:ascii="Times New Roman" w:hAnsi="Times New Roman" w:cs="Times New Roman"/>
          <w:b/>
          <w:bCs/>
          <w:sz w:val="24"/>
          <w:szCs w:val="24"/>
        </w:rPr>
        <w:t>Pre- and Post-Merger Valuation</w:t>
      </w:r>
    </w:p>
    <w:p w:rsidR="00872A26" w:rsidRDefault="001C4334" w:rsidP="00DB38DC">
      <w:pPr>
        <w:spacing w:line="360" w:lineRule="auto"/>
        <w:jc w:val="both"/>
        <w:rPr>
          <w:rFonts w:ascii="Times New Roman" w:hAnsi="Times New Roman" w:cs="Times New Roman"/>
          <w:sz w:val="24"/>
          <w:szCs w:val="24"/>
        </w:rPr>
      </w:pPr>
      <w:r w:rsidRPr="00DB38DC">
        <w:rPr>
          <w:rFonts w:ascii="Times New Roman" w:hAnsi="Times New Roman" w:cs="Times New Roman"/>
          <w:sz w:val="24"/>
          <w:szCs w:val="24"/>
        </w:rPr>
        <w:lastRenderedPageBreak/>
        <w:t xml:space="preserve">In the evaluation of pre and post-merger market capitalization, it is necessary to understand the current market capitalization of banks involved in the merger case and combined market capitalization. </w:t>
      </w:r>
    </w:p>
    <w:p w:rsidR="00872A26" w:rsidRPr="00872A26" w:rsidRDefault="00872A26" w:rsidP="00DB38DC">
      <w:pPr>
        <w:spacing w:line="360" w:lineRule="auto"/>
        <w:jc w:val="both"/>
        <w:rPr>
          <w:rFonts w:ascii="Times New Roman" w:hAnsi="Times New Roman" w:cs="Times New Roman"/>
          <w:b/>
          <w:sz w:val="24"/>
          <w:szCs w:val="24"/>
        </w:rPr>
      </w:pPr>
      <w:r w:rsidRPr="00872A26">
        <w:rPr>
          <w:rFonts w:ascii="Times New Roman" w:hAnsi="Times New Roman" w:cs="Times New Roman"/>
          <w:b/>
          <w:sz w:val="24"/>
          <w:szCs w:val="24"/>
        </w:rPr>
        <w:t>P</w:t>
      </w:r>
      <w:r>
        <w:rPr>
          <w:rFonts w:ascii="Times New Roman" w:hAnsi="Times New Roman" w:cs="Times New Roman"/>
          <w:b/>
          <w:sz w:val="24"/>
          <w:szCs w:val="24"/>
        </w:rPr>
        <w:t>re-merger M</w:t>
      </w:r>
      <w:r w:rsidRPr="00872A26">
        <w:rPr>
          <w:rFonts w:ascii="Times New Roman" w:hAnsi="Times New Roman" w:cs="Times New Roman"/>
          <w:b/>
          <w:sz w:val="24"/>
          <w:szCs w:val="24"/>
        </w:rPr>
        <w:t>arket</w:t>
      </w:r>
    </w:p>
    <w:p w:rsidR="00505B37" w:rsidRPr="00DB38DC" w:rsidRDefault="001C4334" w:rsidP="00DB38DC">
      <w:pPr>
        <w:spacing w:line="360" w:lineRule="auto"/>
        <w:jc w:val="both"/>
        <w:rPr>
          <w:rFonts w:ascii="Times New Roman" w:hAnsi="Times New Roman" w:cs="Times New Roman"/>
          <w:sz w:val="24"/>
          <w:szCs w:val="24"/>
        </w:rPr>
      </w:pPr>
      <w:r w:rsidRPr="00DB38DC">
        <w:rPr>
          <w:rFonts w:ascii="Times New Roman" w:hAnsi="Times New Roman" w:cs="Times New Roman"/>
          <w:sz w:val="24"/>
          <w:szCs w:val="24"/>
        </w:rPr>
        <w:t>The provided data provide market capitalization information about different banks as Saudi National Bank (SNB) has an average market capital of SAR 232</w:t>
      </w:r>
      <w:r w:rsidR="00CF589B">
        <w:rPr>
          <w:rFonts w:ascii="Times New Roman" w:hAnsi="Times New Roman" w:cs="Times New Roman"/>
          <w:sz w:val="24"/>
          <w:szCs w:val="24"/>
        </w:rPr>
        <w:t>,</w:t>
      </w:r>
      <w:r w:rsidRPr="00DB38DC">
        <w:rPr>
          <w:rFonts w:ascii="Times New Roman" w:hAnsi="Times New Roman" w:cs="Times New Roman"/>
          <w:sz w:val="24"/>
          <w:szCs w:val="24"/>
        </w:rPr>
        <w:t>800 million. Samba Bank (SAB) has averaged a market capitalization of SAR 74</w:t>
      </w:r>
      <w:r w:rsidR="00CF589B">
        <w:rPr>
          <w:rFonts w:ascii="Times New Roman" w:hAnsi="Times New Roman" w:cs="Times New Roman"/>
          <w:sz w:val="24"/>
          <w:szCs w:val="24"/>
        </w:rPr>
        <w:t>,</w:t>
      </w:r>
      <w:r w:rsidRPr="00DB38DC">
        <w:rPr>
          <w:rFonts w:ascii="Times New Roman" w:hAnsi="Times New Roman" w:cs="Times New Roman"/>
          <w:sz w:val="24"/>
          <w:szCs w:val="24"/>
        </w:rPr>
        <w:t>794.72 million</w:t>
      </w:r>
      <w:sdt>
        <w:sdtPr>
          <w:rPr>
            <w:rFonts w:ascii="Times New Roman" w:hAnsi="Times New Roman" w:cs="Times New Roman"/>
            <w:sz w:val="24"/>
            <w:szCs w:val="24"/>
          </w:rPr>
          <w:id w:val="107242208"/>
          <w:citation/>
        </w:sdtPr>
        <w:sdtContent>
          <w:r w:rsidR="004814B8">
            <w:rPr>
              <w:rFonts w:ascii="Times New Roman" w:hAnsi="Times New Roman" w:cs="Times New Roman"/>
              <w:sz w:val="24"/>
              <w:szCs w:val="24"/>
            </w:rPr>
            <w:fldChar w:fldCharType="begin"/>
          </w:r>
          <w:r w:rsidR="00F563E1">
            <w:rPr>
              <w:rFonts w:ascii="Times New Roman" w:hAnsi="Times New Roman" w:cs="Times New Roman"/>
              <w:sz w:val="24"/>
              <w:szCs w:val="24"/>
            </w:rPr>
            <w:instrText xml:space="preserve"> CITATION Zob23 \l 1033 </w:instrText>
          </w:r>
          <w:r w:rsidR="004814B8">
            <w:rPr>
              <w:rFonts w:ascii="Times New Roman" w:hAnsi="Times New Roman" w:cs="Times New Roman"/>
              <w:sz w:val="24"/>
              <w:szCs w:val="24"/>
            </w:rPr>
            <w:fldChar w:fldCharType="separate"/>
          </w:r>
          <w:r w:rsidR="00F563E1" w:rsidRPr="00F563E1">
            <w:rPr>
              <w:rFonts w:ascii="Times New Roman" w:hAnsi="Times New Roman" w:cs="Times New Roman"/>
              <w:noProof/>
              <w:sz w:val="24"/>
              <w:szCs w:val="24"/>
            </w:rPr>
            <w:t>(Zobair, Almansour, Abdelhameed, &amp; Mohammed, 2023)</w:t>
          </w:r>
          <w:r w:rsidR="004814B8">
            <w:rPr>
              <w:rFonts w:ascii="Times New Roman" w:hAnsi="Times New Roman" w:cs="Times New Roman"/>
              <w:sz w:val="24"/>
              <w:szCs w:val="24"/>
            </w:rPr>
            <w:fldChar w:fldCharType="end"/>
          </w:r>
        </w:sdtContent>
      </w:sdt>
      <w:r w:rsidRPr="00DB38DC">
        <w:rPr>
          <w:rFonts w:ascii="Times New Roman" w:hAnsi="Times New Roman" w:cs="Times New Roman"/>
          <w:sz w:val="24"/>
          <w:szCs w:val="24"/>
        </w:rPr>
        <w:t>. The average pre-merger market capitalization could be calculated by summing up the market capitalization of all banks.</w:t>
      </w:r>
    </w:p>
    <w:p w:rsidR="00505B37" w:rsidRPr="00DB38DC" w:rsidRDefault="001C4334" w:rsidP="00DB38DC">
      <w:pPr>
        <w:spacing w:line="360" w:lineRule="auto"/>
        <w:rPr>
          <w:rFonts w:ascii="Times New Roman" w:hAnsi="Times New Roman" w:cs="Times New Roman"/>
          <w:sz w:val="24"/>
          <w:szCs w:val="24"/>
        </w:rPr>
      </w:pPr>
      <w:r w:rsidRPr="00DB38DC">
        <w:rPr>
          <w:rFonts w:ascii="Times New Roman" w:hAnsi="Times New Roman" w:cs="Times New Roman"/>
          <w:sz w:val="24"/>
          <w:szCs w:val="24"/>
        </w:rPr>
        <w:t>Average Market Cap= (SNB + RIBL + SAB + BJAZ + ANB + BSFR + SAIB) / 7</w:t>
      </w:r>
    </w:p>
    <w:p w:rsidR="00505B37" w:rsidRPr="00DB38DC" w:rsidRDefault="001C4334" w:rsidP="00DB38DC">
      <w:pPr>
        <w:spacing w:line="360" w:lineRule="auto"/>
        <w:rPr>
          <w:rFonts w:ascii="Times New Roman" w:hAnsi="Times New Roman" w:cs="Times New Roman"/>
          <w:sz w:val="24"/>
          <w:szCs w:val="24"/>
        </w:rPr>
      </w:pPr>
      <w:r w:rsidRPr="00DB38DC">
        <w:rPr>
          <w:rFonts w:ascii="Times New Roman" w:hAnsi="Times New Roman" w:cs="Times New Roman"/>
          <w:sz w:val="24"/>
          <w:szCs w:val="24"/>
        </w:rPr>
        <w:t>Average Market Cap= (232,800.00 + 85,800.00 + 74,794.72 + 15,530.80 +</w:t>
      </w:r>
      <w:r w:rsidR="00CF589B">
        <w:rPr>
          <w:rFonts w:ascii="Times New Roman" w:hAnsi="Times New Roman" w:cs="Times New Roman"/>
          <w:sz w:val="24"/>
          <w:szCs w:val="24"/>
        </w:rPr>
        <w:t xml:space="preserve"> 37,875 + 48,396.81 + 16,300</w:t>
      </w:r>
      <w:r w:rsidRPr="00DB38DC">
        <w:rPr>
          <w:rFonts w:ascii="Times New Roman" w:hAnsi="Times New Roman" w:cs="Times New Roman"/>
          <w:sz w:val="24"/>
          <w:szCs w:val="24"/>
        </w:rPr>
        <w:t>) / 7</w:t>
      </w:r>
    </w:p>
    <w:p w:rsidR="00505B37" w:rsidRPr="00DB38DC" w:rsidRDefault="001C4334" w:rsidP="00DB38DC">
      <w:pPr>
        <w:spacing w:line="360" w:lineRule="auto"/>
        <w:rPr>
          <w:rFonts w:ascii="Times New Roman" w:hAnsi="Times New Roman" w:cs="Times New Roman"/>
          <w:sz w:val="24"/>
          <w:szCs w:val="24"/>
        </w:rPr>
      </w:pPr>
      <w:r w:rsidRPr="00DB38DC">
        <w:rPr>
          <w:rFonts w:ascii="Times New Roman" w:hAnsi="Times New Roman" w:cs="Times New Roman"/>
          <w:sz w:val="24"/>
          <w:szCs w:val="24"/>
        </w:rPr>
        <w:t>Average Market Cap= SAR 79,698.52 million</w:t>
      </w:r>
    </w:p>
    <w:p w:rsidR="00872A26" w:rsidRDefault="00872A26" w:rsidP="00DB38DC">
      <w:pPr>
        <w:spacing w:line="360" w:lineRule="auto"/>
        <w:jc w:val="both"/>
        <w:rPr>
          <w:rFonts w:ascii="Times New Roman" w:hAnsi="Times New Roman" w:cs="Times New Roman"/>
          <w:sz w:val="24"/>
          <w:szCs w:val="24"/>
        </w:rPr>
      </w:pPr>
      <w:r w:rsidRPr="00872A26">
        <w:rPr>
          <w:rFonts w:ascii="Times New Roman" w:hAnsi="Times New Roman" w:cs="Times New Roman"/>
          <w:b/>
          <w:sz w:val="24"/>
          <w:szCs w:val="24"/>
        </w:rPr>
        <w:t>Post-merger</w:t>
      </w:r>
      <w:r>
        <w:rPr>
          <w:rFonts w:ascii="Times New Roman" w:hAnsi="Times New Roman" w:cs="Times New Roman"/>
          <w:b/>
          <w:sz w:val="24"/>
          <w:szCs w:val="24"/>
        </w:rPr>
        <w:t>M</w:t>
      </w:r>
      <w:r w:rsidRPr="00872A26">
        <w:rPr>
          <w:rFonts w:ascii="Times New Roman" w:hAnsi="Times New Roman" w:cs="Times New Roman"/>
          <w:b/>
          <w:sz w:val="24"/>
          <w:szCs w:val="24"/>
        </w:rPr>
        <w:t>arket</w:t>
      </w:r>
    </w:p>
    <w:p w:rsidR="00743F84" w:rsidRPr="00DB38DC" w:rsidRDefault="001C4334" w:rsidP="00DB38DC">
      <w:pPr>
        <w:spacing w:line="360" w:lineRule="auto"/>
        <w:jc w:val="both"/>
        <w:rPr>
          <w:rFonts w:ascii="Times New Roman" w:hAnsi="Times New Roman" w:cs="Times New Roman"/>
          <w:sz w:val="24"/>
          <w:szCs w:val="24"/>
        </w:rPr>
      </w:pPr>
      <w:r w:rsidRPr="00DB38DC">
        <w:rPr>
          <w:rFonts w:ascii="Times New Roman" w:hAnsi="Times New Roman" w:cs="Times New Roman"/>
          <w:sz w:val="24"/>
          <w:szCs w:val="24"/>
        </w:rPr>
        <w:t>The post-merger valuation is assumed by u</w:t>
      </w:r>
      <w:r w:rsidR="00505B37" w:rsidRPr="00DB38DC">
        <w:rPr>
          <w:rFonts w:ascii="Times New Roman" w:hAnsi="Times New Roman" w:cs="Times New Roman"/>
          <w:sz w:val="24"/>
          <w:szCs w:val="24"/>
        </w:rPr>
        <w:t>sing estimated combined market capitalization. For this purpose</w:t>
      </w:r>
      <w:r w:rsidRPr="00DB38DC">
        <w:rPr>
          <w:rFonts w:ascii="Times New Roman" w:hAnsi="Times New Roman" w:cs="Times New Roman"/>
          <w:sz w:val="24"/>
          <w:szCs w:val="24"/>
        </w:rPr>
        <w:t>,</w:t>
      </w:r>
      <w:r w:rsidR="00505B37" w:rsidRPr="00DB38DC">
        <w:rPr>
          <w:rFonts w:ascii="Times New Roman" w:hAnsi="Times New Roman" w:cs="Times New Roman"/>
          <w:sz w:val="24"/>
          <w:szCs w:val="24"/>
        </w:rPr>
        <w:t xml:space="preserve"> it is assumed that the percentage increase in the market capitalization is it 20% premium </w:t>
      </w:r>
      <w:r w:rsidRPr="00DB38DC">
        <w:rPr>
          <w:rFonts w:ascii="Times New Roman" w:hAnsi="Times New Roman" w:cs="Times New Roman"/>
          <w:sz w:val="24"/>
          <w:szCs w:val="24"/>
        </w:rPr>
        <w:t xml:space="preserve">for </w:t>
      </w:r>
      <w:r w:rsidR="00505B37" w:rsidRPr="00DB38DC">
        <w:rPr>
          <w:rFonts w:ascii="Times New Roman" w:hAnsi="Times New Roman" w:cs="Times New Roman"/>
          <w:sz w:val="24"/>
          <w:szCs w:val="24"/>
        </w:rPr>
        <w:t xml:space="preserve">the combined market </w:t>
      </w:r>
      <w:r w:rsidRPr="00DB38DC">
        <w:rPr>
          <w:rFonts w:ascii="Times New Roman" w:hAnsi="Times New Roman" w:cs="Times New Roman"/>
          <w:sz w:val="24"/>
          <w:szCs w:val="24"/>
        </w:rPr>
        <w:t>capitalization</w:t>
      </w:r>
      <w:r w:rsidR="00505B37" w:rsidRPr="00DB38DC">
        <w:rPr>
          <w:rFonts w:ascii="Times New Roman" w:hAnsi="Times New Roman" w:cs="Times New Roman"/>
          <w:sz w:val="24"/>
          <w:szCs w:val="24"/>
        </w:rPr>
        <w:t xml:space="preserve"> as follows:</w:t>
      </w:r>
    </w:p>
    <w:p w:rsidR="00BA090D" w:rsidRPr="00DB38DC" w:rsidRDefault="001C4334" w:rsidP="00DB38DC">
      <w:pPr>
        <w:spacing w:line="360" w:lineRule="auto"/>
        <w:rPr>
          <w:rFonts w:ascii="Times New Roman" w:hAnsi="Times New Roman" w:cs="Times New Roman"/>
          <w:sz w:val="24"/>
          <w:szCs w:val="24"/>
        </w:rPr>
      </w:pPr>
      <w:r w:rsidRPr="00DB38DC">
        <w:rPr>
          <w:rFonts w:ascii="Times New Roman" w:hAnsi="Times New Roman" w:cs="Times New Roman"/>
          <w:sz w:val="24"/>
          <w:szCs w:val="24"/>
        </w:rPr>
        <w:t>Combined Market Cap = Average Pre-Merger Market Cap * (1 + Merger Premium)</w:t>
      </w:r>
    </w:p>
    <w:p w:rsidR="00BA090D" w:rsidRPr="00DB38DC" w:rsidRDefault="001C4334" w:rsidP="00DB38DC">
      <w:pPr>
        <w:spacing w:line="360" w:lineRule="auto"/>
        <w:rPr>
          <w:rFonts w:ascii="Times New Roman" w:hAnsi="Times New Roman" w:cs="Times New Roman"/>
          <w:sz w:val="24"/>
          <w:szCs w:val="24"/>
        </w:rPr>
      </w:pPr>
      <w:r w:rsidRPr="00DB38DC">
        <w:rPr>
          <w:rFonts w:ascii="Times New Roman" w:hAnsi="Times New Roman" w:cs="Times New Roman"/>
          <w:sz w:val="24"/>
          <w:szCs w:val="24"/>
        </w:rPr>
        <w:t>Combined Market Cap = SAR 79,698.52 million * (1 + 0.20)</w:t>
      </w:r>
    </w:p>
    <w:p w:rsidR="00BA090D" w:rsidRPr="00DB38DC" w:rsidRDefault="001C4334" w:rsidP="00DB38DC">
      <w:pPr>
        <w:spacing w:line="360" w:lineRule="auto"/>
        <w:rPr>
          <w:rFonts w:ascii="Times New Roman" w:hAnsi="Times New Roman" w:cs="Times New Roman"/>
          <w:b/>
          <w:sz w:val="24"/>
          <w:szCs w:val="24"/>
        </w:rPr>
      </w:pPr>
      <w:r w:rsidRPr="00DB38DC">
        <w:rPr>
          <w:rFonts w:ascii="Times New Roman" w:hAnsi="Times New Roman" w:cs="Times New Roman"/>
          <w:sz w:val="24"/>
          <w:szCs w:val="24"/>
        </w:rPr>
        <w:t xml:space="preserve">Combined Market Cap ≈ </w:t>
      </w:r>
      <w:r w:rsidRPr="00DB38DC">
        <w:rPr>
          <w:rFonts w:ascii="Times New Roman" w:hAnsi="Times New Roman" w:cs="Times New Roman"/>
          <w:b/>
          <w:sz w:val="24"/>
          <w:szCs w:val="24"/>
        </w:rPr>
        <w:t>SAR 95,638.22 million</w:t>
      </w:r>
    </w:p>
    <w:p w:rsidR="00DB38DC" w:rsidRPr="00DB38DC" w:rsidRDefault="001C4334" w:rsidP="00DB38DC">
      <w:pPr>
        <w:spacing w:line="360" w:lineRule="auto"/>
        <w:jc w:val="both"/>
        <w:rPr>
          <w:rFonts w:ascii="Times New Roman" w:hAnsi="Times New Roman" w:cs="Times New Roman"/>
          <w:sz w:val="24"/>
          <w:szCs w:val="24"/>
        </w:rPr>
      </w:pPr>
      <w:r w:rsidRPr="00DB38DC">
        <w:rPr>
          <w:rFonts w:ascii="Times New Roman" w:hAnsi="Times New Roman" w:cs="Times New Roman"/>
          <w:sz w:val="24"/>
          <w:szCs w:val="24"/>
        </w:rPr>
        <w:t xml:space="preserve">The merger between Alahli Bank and Samba financial groups is predicted to have a greater impact on the banking industry in Saudi Arabia. The results represent the consolidation of market share by Alahli Bank and Samba created a formidable financial institution. The merged entity is most likely to develop a market leader that has a significant increase in share and greater influence on the competitive landscape. The merged bank will provide the benefits of economies of scale and provide a greater competitive edge in the industry because the company could negotiate better terms with suppliers and attract a broader customer base by providing a diverse </w:t>
      </w:r>
      <w:r w:rsidRPr="00DB38DC">
        <w:rPr>
          <w:rFonts w:ascii="Times New Roman" w:hAnsi="Times New Roman" w:cs="Times New Roman"/>
          <w:sz w:val="24"/>
          <w:szCs w:val="24"/>
        </w:rPr>
        <w:lastRenderedPageBreak/>
        <w:t>range of products and services</w:t>
      </w:r>
      <w:sdt>
        <w:sdtPr>
          <w:rPr>
            <w:rFonts w:ascii="Times New Roman" w:hAnsi="Times New Roman" w:cs="Times New Roman"/>
            <w:sz w:val="24"/>
            <w:szCs w:val="24"/>
          </w:rPr>
          <w:id w:val="1497759097"/>
          <w:citation/>
        </w:sdtPr>
        <w:sdtContent>
          <w:r w:rsidR="004814B8">
            <w:rPr>
              <w:rFonts w:ascii="Times New Roman" w:hAnsi="Times New Roman" w:cs="Times New Roman"/>
              <w:sz w:val="24"/>
              <w:szCs w:val="24"/>
            </w:rPr>
            <w:fldChar w:fldCharType="begin"/>
          </w:r>
          <w:r w:rsidR="00211214">
            <w:rPr>
              <w:rFonts w:ascii="Times New Roman" w:hAnsi="Times New Roman" w:cs="Times New Roman"/>
              <w:sz w:val="24"/>
              <w:szCs w:val="24"/>
            </w:rPr>
            <w:instrText xml:space="preserve"> CITATION Ull23 \l 1033 </w:instrText>
          </w:r>
          <w:r w:rsidR="004814B8">
            <w:rPr>
              <w:rFonts w:ascii="Times New Roman" w:hAnsi="Times New Roman" w:cs="Times New Roman"/>
              <w:sz w:val="24"/>
              <w:szCs w:val="24"/>
            </w:rPr>
            <w:fldChar w:fldCharType="separate"/>
          </w:r>
          <w:r w:rsidR="00211214" w:rsidRPr="00211214">
            <w:rPr>
              <w:rFonts w:ascii="Times New Roman" w:hAnsi="Times New Roman" w:cs="Times New Roman"/>
              <w:noProof/>
              <w:sz w:val="24"/>
              <w:szCs w:val="24"/>
            </w:rPr>
            <w:t>(Ullah, Nor, Seman, Ramli, &amp; Rasedee., 2023)</w:t>
          </w:r>
          <w:r w:rsidR="004814B8">
            <w:rPr>
              <w:rFonts w:ascii="Times New Roman" w:hAnsi="Times New Roman" w:cs="Times New Roman"/>
              <w:sz w:val="24"/>
              <w:szCs w:val="24"/>
            </w:rPr>
            <w:fldChar w:fldCharType="end"/>
          </w:r>
        </w:sdtContent>
      </w:sdt>
      <w:r w:rsidRPr="00DB38DC">
        <w:rPr>
          <w:rFonts w:ascii="Times New Roman" w:hAnsi="Times New Roman" w:cs="Times New Roman"/>
          <w:sz w:val="24"/>
          <w:szCs w:val="24"/>
        </w:rPr>
        <w:t>. The announcement of the merger could have an immediate impact on the market perception and confidence of investors as there will be positive reactions from investors and stakeholders that will reflect optimism about the potential benefits of the merger.</w:t>
      </w:r>
    </w:p>
    <w:p w:rsidR="00DB38DC" w:rsidRPr="00DB38DC" w:rsidRDefault="00DB38DC" w:rsidP="00DB38DC">
      <w:pPr>
        <w:spacing w:line="360" w:lineRule="auto"/>
        <w:rPr>
          <w:rFonts w:ascii="Times New Roman" w:hAnsi="Times New Roman" w:cs="Times New Roman"/>
          <w:sz w:val="24"/>
          <w:szCs w:val="24"/>
        </w:rPr>
      </w:pPr>
    </w:p>
    <w:p w:rsidR="00BA090D" w:rsidRPr="00DB38DC" w:rsidRDefault="001C4334" w:rsidP="00DB38DC">
      <w:pPr>
        <w:pStyle w:val="ListParagraph"/>
        <w:numPr>
          <w:ilvl w:val="0"/>
          <w:numId w:val="1"/>
        </w:numPr>
        <w:spacing w:line="360" w:lineRule="auto"/>
        <w:jc w:val="both"/>
        <w:rPr>
          <w:rFonts w:ascii="Times New Roman" w:hAnsi="Times New Roman" w:cs="Times New Roman"/>
          <w:sz w:val="24"/>
          <w:szCs w:val="24"/>
        </w:rPr>
      </w:pPr>
      <w:r w:rsidRPr="00DB38DC">
        <w:rPr>
          <w:rFonts w:ascii="Times New Roman" w:hAnsi="Times New Roman" w:cs="Times New Roman"/>
          <w:b/>
          <w:bCs/>
          <w:sz w:val="24"/>
          <w:szCs w:val="24"/>
        </w:rPr>
        <w:t>Financial Ratio Analysis</w:t>
      </w:r>
    </w:p>
    <w:tbl>
      <w:tblPr>
        <w:tblStyle w:val="TableGrid"/>
        <w:tblW w:w="6308" w:type="dxa"/>
        <w:jc w:val="center"/>
        <w:tblLook w:val="04A0"/>
      </w:tblPr>
      <w:tblGrid>
        <w:gridCol w:w="2716"/>
        <w:gridCol w:w="1896"/>
        <w:gridCol w:w="1696"/>
      </w:tblGrid>
      <w:tr w:rsidR="00173AD6" w:rsidTr="00A3006A">
        <w:trPr>
          <w:trHeight w:val="310"/>
          <w:jc w:val="center"/>
        </w:trPr>
        <w:tc>
          <w:tcPr>
            <w:tcW w:w="2716" w:type="dxa"/>
            <w:noWrap/>
            <w:hideMark/>
          </w:tcPr>
          <w:p w:rsidR="00A3006A" w:rsidRPr="00A3006A" w:rsidRDefault="001C4334" w:rsidP="00DB38DC">
            <w:pPr>
              <w:spacing w:after="0" w:line="360" w:lineRule="auto"/>
              <w:rPr>
                <w:rFonts w:ascii="Times New Roman" w:eastAsia="Times New Roman" w:hAnsi="Times New Roman" w:cs="Times New Roman"/>
                <w:b/>
                <w:bCs/>
                <w:kern w:val="0"/>
                <w:sz w:val="24"/>
                <w:szCs w:val="24"/>
              </w:rPr>
            </w:pPr>
            <w:r w:rsidRPr="00A3006A">
              <w:rPr>
                <w:rFonts w:ascii="Times New Roman" w:eastAsia="Times New Roman" w:hAnsi="Times New Roman" w:cs="Times New Roman"/>
                <w:b/>
                <w:bCs/>
                <w:kern w:val="0"/>
                <w:sz w:val="24"/>
                <w:szCs w:val="24"/>
              </w:rPr>
              <w:t>Ratios</w:t>
            </w:r>
          </w:p>
        </w:tc>
        <w:tc>
          <w:tcPr>
            <w:tcW w:w="1896" w:type="dxa"/>
            <w:noWrap/>
            <w:hideMark/>
          </w:tcPr>
          <w:p w:rsidR="00A3006A" w:rsidRPr="00A3006A" w:rsidRDefault="001C4334" w:rsidP="00DB38DC">
            <w:pPr>
              <w:spacing w:after="0" w:line="360" w:lineRule="auto"/>
              <w:rPr>
                <w:rFonts w:ascii="Times New Roman" w:eastAsia="Times New Roman" w:hAnsi="Times New Roman" w:cs="Times New Roman"/>
                <w:b/>
                <w:bCs/>
                <w:kern w:val="0"/>
                <w:sz w:val="24"/>
                <w:szCs w:val="24"/>
              </w:rPr>
            </w:pPr>
            <w:r w:rsidRPr="00A3006A">
              <w:rPr>
                <w:rFonts w:ascii="Times New Roman" w:eastAsia="Times New Roman" w:hAnsi="Times New Roman" w:cs="Times New Roman"/>
                <w:b/>
                <w:bCs/>
                <w:kern w:val="0"/>
                <w:sz w:val="24"/>
                <w:szCs w:val="24"/>
              </w:rPr>
              <w:t>Pre-merger</w:t>
            </w:r>
          </w:p>
        </w:tc>
        <w:tc>
          <w:tcPr>
            <w:tcW w:w="1696" w:type="dxa"/>
            <w:noWrap/>
            <w:hideMark/>
          </w:tcPr>
          <w:p w:rsidR="00A3006A" w:rsidRPr="00A3006A" w:rsidRDefault="001C4334" w:rsidP="00DB38DC">
            <w:pPr>
              <w:spacing w:after="0" w:line="360" w:lineRule="auto"/>
              <w:rPr>
                <w:rFonts w:ascii="Times New Roman" w:eastAsia="Times New Roman" w:hAnsi="Times New Roman" w:cs="Times New Roman"/>
                <w:b/>
                <w:bCs/>
                <w:kern w:val="0"/>
                <w:sz w:val="24"/>
                <w:szCs w:val="24"/>
              </w:rPr>
            </w:pPr>
            <w:r w:rsidRPr="00A3006A">
              <w:rPr>
                <w:rFonts w:ascii="Times New Roman" w:eastAsia="Times New Roman" w:hAnsi="Times New Roman" w:cs="Times New Roman"/>
                <w:b/>
                <w:bCs/>
                <w:kern w:val="0"/>
                <w:sz w:val="24"/>
                <w:szCs w:val="24"/>
              </w:rPr>
              <w:t>post-merger</w:t>
            </w:r>
          </w:p>
        </w:tc>
      </w:tr>
      <w:tr w:rsidR="00173AD6" w:rsidTr="00A3006A">
        <w:trPr>
          <w:trHeight w:val="290"/>
          <w:jc w:val="center"/>
        </w:trPr>
        <w:tc>
          <w:tcPr>
            <w:tcW w:w="2716" w:type="dxa"/>
            <w:noWrap/>
            <w:hideMark/>
          </w:tcPr>
          <w:p w:rsidR="00A3006A" w:rsidRPr="00A3006A" w:rsidRDefault="001C4334" w:rsidP="00DB38DC">
            <w:pPr>
              <w:spacing w:after="0" w:line="360" w:lineRule="auto"/>
              <w:rPr>
                <w:rFonts w:ascii="Times New Roman" w:eastAsia="Times New Roman" w:hAnsi="Times New Roman" w:cs="Times New Roman"/>
                <w:kern w:val="0"/>
                <w:sz w:val="24"/>
                <w:szCs w:val="24"/>
              </w:rPr>
            </w:pPr>
            <w:r w:rsidRPr="00A3006A">
              <w:rPr>
                <w:rFonts w:ascii="Times New Roman" w:eastAsia="Times New Roman" w:hAnsi="Times New Roman" w:cs="Times New Roman"/>
                <w:kern w:val="0"/>
                <w:sz w:val="24"/>
                <w:szCs w:val="24"/>
              </w:rPr>
              <w:t>Return on Equity (ROE)</w:t>
            </w:r>
          </w:p>
        </w:tc>
        <w:tc>
          <w:tcPr>
            <w:tcW w:w="1896" w:type="dxa"/>
            <w:noWrap/>
            <w:hideMark/>
          </w:tcPr>
          <w:p w:rsidR="00A3006A" w:rsidRPr="00A3006A" w:rsidRDefault="001C4334" w:rsidP="00DB38DC">
            <w:pPr>
              <w:spacing w:after="0" w:line="360" w:lineRule="auto"/>
              <w:jc w:val="right"/>
              <w:rPr>
                <w:rFonts w:ascii="Times New Roman" w:eastAsia="Times New Roman" w:hAnsi="Times New Roman" w:cs="Times New Roman"/>
                <w:kern w:val="0"/>
                <w:sz w:val="24"/>
                <w:szCs w:val="24"/>
              </w:rPr>
            </w:pPr>
            <w:r w:rsidRPr="00A3006A">
              <w:rPr>
                <w:rFonts w:ascii="Times New Roman" w:eastAsia="Times New Roman" w:hAnsi="Times New Roman" w:cs="Times New Roman"/>
                <w:kern w:val="0"/>
                <w:sz w:val="24"/>
                <w:szCs w:val="24"/>
              </w:rPr>
              <w:t>0.043780563</w:t>
            </w:r>
          </w:p>
        </w:tc>
        <w:tc>
          <w:tcPr>
            <w:tcW w:w="1696" w:type="dxa"/>
            <w:noWrap/>
            <w:hideMark/>
          </w:tcPr>
          <w:p w:rsidR="00A3006A" w:rsidRPr="00A3006A" w:rsidRDefault="001C4334" w:rsidP="00DB38DC">
            <w:pPr>
              <w:spacing w:after="0" w:line="360" w:lineRule="auto"/>
              <w:jc w:val="right"/>
              <w:rPr>
                <w:rFonts w:ascii="Times New Roman" w:eastAsia="Times New Roman" w:hAnsi="Times New Roman" w:cs="Times New Roman"/>
                <w:kern w:val="0"/>
                <w:sz w:val="24"/>
                <w:szCs w:val="24"/>
              </w:rPr>
            </w:pPr>
            <w:r w:rsidRPr="00A3006A">
              <w:rPr>
                <w:rFonts w:ascii="Times New Roman" w:eastAsia="Times New Roman" w:hAnsi="Times New Roman" w:cs="Times New Roman"/>
                <w:kern w:val="0"/>
                <w:sz w:val="24"/>
                <w:szCs w:val="24"/>
              </w:rPr>
              <w:t>0.030916693</w:t>
            </w:r>
          </w:p>
        </w:tc>
      </w:tr>
      <w:tr w:rsidR="00173AD6" w:rsidTr="00A3006A">
        <w:trPr>
          <w:trHeight w:val="370"/>
          <w:jc w:val="center"/>
        </w:trPr>
        <w:tc>
          <w:tcPr>
            <w:tcW w:w="2716" w:type="dxa"/>
            <w:noWrap/>
            <w:hideMark/>
          </w:tcPr>
          <w:p w:rsidR="00A3006A" w:rsidRPr="00A3006A" w:rsidRDefault="001C4334" w:rsidP="00DB38DC">
            <w:pPr>
              <w:spacing w:after="0" w:line="360" w:lineRule="auto"/>
              <w:rPr>
                <w:rFonts w:ascii="Times New Roman" w:eastAsia="Times New Roman" w:hAnsi="Times New Roman" w:cs="Times New Roman"/>
                <w:kern w:val="0"/>
                <w:sz w:val="24"/>
                <w:szCs w:val="24"/>
              </w:rPr>
            </w:pPr>
            <w:r w:rsidRPr="00A3006A">
              <w:rPr>
                <w:rFonts w:ascii="Times New Roman" w:eastAsia="Times New Roman" w:hAnsi="Times New Roman" w:cs="Times New Roman"/>
                <w:kern w:val="0"/>
                <w:sz w:val="24"/>
                <w:szCs w:val="24"/>
              </w:rPr>
              <w:t>Price-to-Earnings (P/E) Ratio</w:t>
            </w:r>
          </w:p>
        </w:tc>
        <w:tc>
          <w:tcPr>
            <w:tcW w:w="1896" w:type="dxa"/>
            <w:noWrap/>
            <w:hideMark/>
          </w:tcPr>
          <w:p w:rsidR="00A3006A" w:rsidRPr="00A3006A" w:rsidRDefault="001C4334" w:rsidP="00DB38DC">
            <w:pPr>
              <w:spacing w:after="0" w:line="360" w:lineRule="auto"/>
              <w:jc w:val="right"/>
              <w:rPr>
                <w:rFonts w:ascii="Times New Roman" w:eastAsia="Times New Roman" w:hAnsi="Times New Roman" w:cs="Times New Roman"/>
                <w:kern w:val="0"/>
                <w:sz w:val="24"/>
                <w:szCs w:val="24"/>
              </w:rPr>
            </w:pPr>
            <w:r w:rsidRPr="00A3006A">
              <w:rPr>
                <w:rFonts w:ascii="Times New Roman" w:eastAsia="Times New Roman" w:hAnsi="Times New Roman" w:cs="Times New Roman"/>
                <w:kern w:val="0"/>
                <w:sz w:val="24"/>
                <w:szCs w:val="24"/>
              </w:rPr>
              <w:t>6.04978227</w:t>
            </w:r>
          </w:p>
        </w:tc>
        <w:tc>
          <w:tcPr>
            <w:tcW w:w="1696" w:type="dxa"/>
            <w:noWrap/>
            <w:hideMark/>
          </w:tcPr>
          <w:p w:rsidR="00A3006A" w:rsidRPr="00A3006A" w:rsidRDefault="001C4334" w:rsidP="00DB38DC">
            <w:pPr>
              <w:spacing w:after="0" w:line="360" w:lineRule="auto"/>
              <w:jc w:val="right"/>
              <w:rPr>
                <w:rFonts w:ascii="Times New Roman" w:eastAsia="Times New Roman" w:hAnsi="Times New Roman" w:cs="Times New Roman"/>
                <w:kern w:val="0"/>
                <w:sz w:val="24"/>
                <w:szCs w:val="24"/>
              </w:rPr>
            </w:pPr>
            <w:r w:rsidRPr="00A3006A">
              <w:rPr>
                <w:rFonts w:ascii="Times New Roman" w:eastAsia="Times New Roman" w:hAnsi="Times New Roman" w:cs="Times New Roman"/>
                <w:kern w:val="0"/>
                <w:sz w:val="24"/>
                <w:szCs w:val="24"/>
              </w:rPr>
              <w:t>8.099033674</w:t>
            </w:r>
          </w:p>
        </w:tc>
      </w:tr>
      <w:tr w:rsidR="00173AD6" w:rsidTr="00A3006A">
        <w:trPr>
          <w:trHeight w:val="310"/>
          <w:jc w:val="center"/>
        </w:trPr>
        <w:tc>
          <w:tcPr>
            <w:tcW w:w="2716" w:type="dxa"/>
            <w:noWrap/>
            <w:hideMark/>
          </w:tcPr>
          <w:p w:rsidR="00A3006A" w:rsidRPr="00A3006A" w:rsidRDefault="001C4334" w:rsidP="00DB38DC">
            <w:pPr>
              <w:spacing w:after="0" w:line="360" w:lineRule="auto"/>
              <w:rPr>
                <w:rFonts w:ascii="Times New Roman" w:eastAsia="Times New Roman" w:hAnsi="Times New Roman" w:cs="Times New Roman"/>
                <w:kern w:val="0"/>
                <w:sz w:val="24"/>
                <w:szCs w:val="24"/>
              </w:rPr>
            </w:pPr>
            <w:r w:rsidRPr="00A3006A">
              <w:rPr>
                <w:rFonts w:ascii="Times New Roman" w:eastAsia="Times New Roman" w:hAnsi="Times New Roman" w:cs="Times New Roman"/>
                <w:kern w:val="0"/>
                <w:sz w:val="24"/>
                <w:szCs w:val="24"/>
              </w:rPr>
              <w:t>Debt-to-Equity (D/E) Ratio</w:t>
            </w:r>
          </w:p>
        </w:tc>
        <w:tc>
          <w:tcPr>
            <w:tcW w:w="1896" w:type="dxa"/>
            <w:noWrap/>
            <w:hideMark/>
          </w:tcPr>
          <w:p w:rsidR="00A3006A" w:rsidRPr="00A3006A" w:rsidRDefault="001C4334" w:rsidP="00DB38DC">
            <w:pPr>
              <w:spacing w:after="0" w:line="360" w:lineRule="auto"/>
              <w:jc w:val="right"/>
              <w:rPr>
                <w:rFonts w:ascii="Times New Roman" w:eastAsia="Times New Roman" w:hAnsi="Times New Roman" w:cs="Times New Roman"/>
                <w:kern w:val="0"/>
                <w:sz w:val="24"/>
                <w:szCs w:val="24"/>
              </w:rPr>
            </w:pPr>
            <w:r w:rsidRPr="00A3006A">
              <w:rPr>
                <w:rFonts w:ascii="Times New Roman" w:eastAsia="Times New Roman" w:hAnsi="Times New Roman" w:cs="Times New Roman"/>
                <w:kern w:val="0"/>
                <w:sz w:val="24"/>
                <w:szCs w:val="24"/>
              </w:rPr>
              <w:t>7.502201124</w:t>
            </w:r>
          </w:p>
        </w:tc>
        <w:tc>
          <w:tcPr>
            <w:tcW w:w="1696" w:type="dxa"/>
            <w:noWrap/>
            <w:hideMark/>
          </w:tcPr>
          <w:p w:rsidR="00A3006A" w:rsidRPr="00A3006A" w:rsidRDefault="001C4334" w:rsidP="00DB38DC">
            <w:pPr>
              <w:spacing w:after="0" w:line="360" w:lineRule="auto"/>
              <w:jc w:val="right"/>
              <w:rPr>
                <w:rFonts w:ascii="Times New Roman" w:eastAsia="Times New Roman" w:hAnsi="Times New Roman" w:cs="Times New Roman"/>
                <w:kern w:val="0"/>
                <w:sz w:val="24"/>
                <w:szCs w:val="24"/>
              </w:rPr>
            </w:pPr>
            <w:r w:rsidRPr="00A3006A">
              <w:rPr>
                <w:rFonts w:ascii="Times New Roman" w:eastAsia="Times New Roman" w:hAnsi="Times New Roman" w:cs="Times New Roman"/>
                <w:kern w:val="0"/>
                <w:sz w:val="24"/>
                <w:szCs w:val="24"/>
              </w:rPr>
              <w:t>5.174703487</w:t>
            </w:r>
          </w:p>
        </w:tc>
      </w:tr>
      <w:tr w:rsidR="00173AD6" w:rsidTr="00A3006A">
        <w:trPr>
          <w:trHeight w:val="310"/>
          <w:jc w:val="center"/>
        </w:trPr>
        <w:tc>
          <w:tcPr>
            <w:tcW w:w="2716" w:type="dxa"/>
            <w:noWrap/>
            <w:hideMark/>
          </w:tcPr>
          <w:p w:rsidR="00A3006A" w:rsidRPr="00A3006A" w:rsidRDefault="001C4334" w:rsidP="00DB38DC">
            <w:pPr>
              <w:spacing w:after="0" w:line="360" w:lineRule="auto"/>
              <w:rPr>
                <w:rFonts w:ascii="Times New Roman" w:eastAsia="Times New Roman" w:hAnsi="Times New Roman" w:cs="Times New Roman"/>
                <w:kern w:val="0"/>
                <w:sz w:val="24"/>
                <w:szCs w:val="24"/>
              </w:rPr>
            </w:pPr>
            <w:r w:rsidRPr="00A3006A">
              <w:rPr>
                <w:rFonts w:ascii="Times New Roman" w:eastAsia="Times New Roman" w:hAnsi="Times New Roman" w:cs="Times New Roman"/>
                <w:kern w:val="0"/>
                <w:sz w:val="24"/>
                <w:szCs w:val="24"/>
              </w:rPr>
              <w:t>Net Interest Margin</w:t>
            </w:r>
          </w:p>
        </w:tc>
        <w:tc>
          <w:tcPr>
            <w:tcW w:w="1896" w:type="dxa"/>
            <w:noWrap/>
            <w:hideMark/>
          </w:tcPr>
          <w:p w:rsidR="00A3006A" w:rsidRPr="00A3006A" w:rsidRDefault="001C4334" w:rsidP="00DB38DC">
            <w:pPr>
              <w:spacing w:after="0" w:line="360" w:lineRule="auto"/>
              <w:jc w:val="right"/>
              <w:rPr>
                <w:rFonts w:ascii="Times New Roman" w:eastAsia="Times New Roman" w:hAnsi="Times New Roman" w:cs="Times New Roman"/>
                <w:kern w:val="0"/>
                <w:sz w:val="24"/>
                <w:szCs w:val="24"/>
              </w:rPr>
            </w:pPr>
            <w:r w:rsidRPr="00A3006A">
              <w:rPr>
                <w:rFonts w:ascii="Times New Roman" w:eastAsia="Times New Roman" w:hAnsi="Times New Roman" w:cs="Times New Roman"/>
                <w:kern w:val="0"/>
                <w:sz w:val="24"/>
                <w:szCs w:val="24"/>
              </w:rPr>
              <w:t>0.000363786</w:t>
            </w:r>
          </w:p>
        </w:tc>
        <w:tc>
          <w:tcPr>
            <w:tcW w:w="1696" w:type="dxa"/>
            <w:noWrap/>
            <w:hideMark/>
          </w:tcPr>
          <w:p w:rsidR="00A3006A" w:rsidRPr="00A3006A" w:rsidRDefault="001C4334" w:rsidP="00DB38DC">
            <w:pPr>
              <w:spacing w:after="0" w:line="360" w:lineRule="auto"/>
              <w:jc w:val="right"/>
              <w:rPr>
                <w:rFonts w:ascii="Times New Roman" w:eastAsia="Times New Roman" w:hAnsi="Times New Roman" w:cs="Times New Roman"/>
                <w:kern w:val="0"/>
                <w:sz w:val="24"/>
                <w:szCs w:val="24"/>
              </w:rPr>
            </w:pPr>
            <w:r w:rsidRPr="00A3006A">
              <w:rPr>
                <w:rFonts w:ascii="Times New Roman" w:eastAsia="Times New Roman" w:hAnsi="Times New Roman" w:cs="Times New Roman"/>
                <w:kern w:val="0"/>
                <w:sz w:val="24"/>
                <w:szCs w:val="24"/>
              </w:rPr>
              <w:t>-3.98321E-05</w:t>
            </w:r>
          </w:p>
        </w:tc>
      </w:tr>
      <w:tr w:rsidR="00173AD6" w:rsidTr="00A3006A">
        <w:trPr>
          <w:trHeight w:val="310"/>
          <w:jc w:val="center"/>
        </w:trPr>
        <w:tc>
          <w:tcPr>
            <w:tcW w:w="2716" w:type="dxa"/>
            <w:noWrap/>
            <w:hideMark/>
          </w:tcPr>
          <w:p w:rsidR="00A3006A" w:rsidRPr="00A3006A" w:rsidRDefault="001C4334" w:rsidP="00DB38DC">
            <w:pPr>
              <w:spacing w:after="0" w:line="360" w:lineRule="auto"/>
              <w:rPr>
                <w:rFonts w:ascii="Times New Roman" w:eastAsia="Times New Roman" w:hAnsi="Times New Roman" w:cs="Times New Roman"/>
                <w:kern w:val="0"/>
                <w:sz w:val="24"/>
                <w:szCs w:val="24"/>
              </w:rPr>
            </w:pPr>
            <w:r w:rsidRPr="00A3006A">
              <w:rPr>
                <w:rFonts w:ascii="Times New Roman" w:eastAsia="Times New Roman" w:hAnsi="Times New Roman" w:cs="Times New Roman"/>
                <w:kern w:val="0"/>
                <w:sz w:val="24"/>
                <w:szCs w:val="24"/>
              </w:rPr>
              <w:t>Earnings Per Share (EPS)</w:t>
            </w:r>
          </w:p>
        </w:tc>
        <w:tc>
          <w:tcPr>
            <w:tcW w:w="1896" w:type="dxa"/>
            <w:noWrap/>
            <w:hideMark/>
          </w:tcPr>
          <w:p w:rsidR="00A3006A" w:rsidRPr="00A3006A" w:rsidRDefault="001C4334" w:rsidP="00DB38DC">
            <w:pPr>
              <w:spacing w:after="0" w:line="360" w:lineRule="auto"/>
              <w:jc w:val="right"/>
              <w:rPr>
                <w:rFonts w:ascii="Times New Roman" w:eastAsia="Times New Roman" w:hAnsi="Times New Roman" w:cs="Times New Roman"/>
                <w:kern w:val="0"/>
                <w:sz w:val="24"/>
                <w:szCs w:val="24"/>
              </w:rPr>
            </w:pPr>
            <w:r w:rsidRPr="00A3006A">
              <w:rPr>
                <w:rFonts w:ascii="Times New Roman" w:eastAsia="Times New Roman" w:hAnsi="Times New Roman" w:cs="Times New Roman"/>
                <w:kern w:val="0"/>
                <w:sz w:val="24"/>
                <w:szCs w:val="24"/>
              </w:rPr>
              <w:t>2.846041647</w:t>
            </w:r>
          </w:p>
        </w:tc>
        <w:tc>
          <w:tcPr>
            <w:tcW w:w="1696" w:type="dxa"/>
            <w:noWrap/>
            <w:hideMark/>
          </w:tcPr>
          <w:p w:rsidR="00A3006A" w:rsidRPr="00A3006A" w:rsidRDefault="001C4334" w:rsidP="00DB38DC">
            <w:pPr>
              <w:spacing w:after="0" w:line="360" w:lineRule="auto"/>
              <w:jc w:val="right"/>
              <w:rPr>
                <w:rFonts w:ascii="Times New Roman" w:eastAsia="Times New Roman" w:hAnsi="Times New Roman" w:cs="Times New Roman"/>
                <w:kern w:val="0"/>
                <w:sz w:val="24"/>
                <w:szCs w:val="24"/>
              </w:rPr>
            </w:pPr>
            <w:r w:rsidRPr="00A3006A">
              <w:rPr>
                <w:rFonts w:ascii="Times New Roman" w:eastAsia="Times New Roman" w:hAnsi="Times New Roman" w:cs="Times New Roman"/>
                <w:kern w:val="0"/>
                <w:sz w:val="24"/>
                <w:szCs w:val="24"/>
              </w:rPr>
              <w:t>3.096781667</w:t>
            </w:r>
          </w:p>
        </w:tc>
      </w:tr>
      <w:tr w:rsidR="00173AD6" w:rsidTr="00A3006A">
        <w:trPr>
          <w:trHeight w:val="310"/>
          <w:jc w:val="center"/>
        </w:trPr>
        <w:tc>
          <w:tcPr>
            <w:tcW w:w="2716" w:type="dxa"/>
            <w:noWrap/>
            <w:hideMark/>
          </w:tcPr>
          <w:p w:rsidR="00A3006A" w:rsidRPr="00A3006A" w:rsidRDefault="00A3006A" w:rsidP="00DB38DC">
            <w:pPr>
              <w:spacing w:after="0" w:line="360" w:lineRule="auto"/>
              <w:rPr>
                <w:rFonts w:ascii="Times New Roman" w:eastAsia="Times New Roman" w:hAnsi="Times New Roman" w:cs="Times New Roman"/>
                <w:kern w:val="0"/>
                <w:sz w:val="24"/>
                <w:szCs w:val="24"/>
              </w:rPr>
            </w:pPr>
          </w:p>
        </w:tc>
        <w:tc>
          <w:tcPr>
            <w:tcW w:w="1896" w:type="dxa"/>
            <w:noWrap/>
            <w:hideMark/>
          </w:tcPr>
          <w:p w:rsidR="00A3006A" w:rsidRPr="00A3006A" w:rsidRDefault="00A3006A" w:rsidP="00DB38DC">
            <w:pPr>
              <w:spacing w:after="0" w:line="360" w:lineRule="auto"/>
              <w:rPr>
                <w:rFonts w:ascii="Times New Roman" w:eastAsia="Times New Roman" w:hAnsi="Times New Roman" w:cs="Times New Roman"/>
                <w:kern w:val="0"/>
                <w:sz w:val="24"/>
                <w:szCs w:val="24"/>
              </w:rPr>
            </w:pPr>
          </w:p>
        </w:tc>
        <w:tc>
          <w:tcPr>
            <w:tcW w:w="1696" w:type="dxa"/>
            <w:noWrap/>
            <w:hideMark/>
          </w:tcPr>
          <w:p w:rsidR="00A3006A" w:rsidRPr="00A3006A" w:rsidRDefault="00A3006A" w:rsidP="00DB38DC">
            <w:pPr>
              <w:spacing w:after="0" w:line="360" w:lineRule="auto"/>
              <w:rPr>
                <w:rFonts w:ascii="Times New Roman" w:eastAsia="Times New Roman" w:hAnsi="Times New Roman" w:cs="Times New Roman"/>
                <w:kern w:val="0"/>
                <w:sz w:val="24"/>
                <w:szCs w:val="24"/>
              </w:rPr>
            </w:pPr>
          </w:p>
        </w:tc>
      </w:tr>
    </w:tbl>
    <w:p w:rsidR="00D777E4" w:rsidRPr="00DB38DC" w:rsidRDefault="00D777E4" w:rsidP="00DB38DC">
      <w:pPr>
        <w:spacing w:line="360" w:lineRule="auto"/>
        <w:jc w:val="both"/>
        <w:rPr>
          <w:rFonts w:ascii="Times New Roman" w:hAnsi="Times New Roman" w:cs="Times New Roman"/>
          <w:sz w:val="24"/>
          <w:szCs w:val="24"/>
        </w:rPr>
      </w:pPr>
    </w:p>
    <w:p w:rsidR="00872A26" w:rsidRPr="00872A26" w:rsidRDefault="00872A26" w:rsidP="00DB38DC">
      <w:pPr>
        <w:spacing w:line="360" w:lineRule="auto"/>
        <w:jc w:val="both"/>
        <w:rPr>
          <w:rFonts w:ascii="Times New Roman" w:hAnsi="Times New Roman" w:cs="Times New Roman"/>
          <w:b/>
          <w:sz w:val="24"/>
          <w:szCs w:val="24"/>
        </w:rPr>
      </w:pPr>
      <w:r w:rsidRPr="00872A26">
        <w:rPr>
          <w:rFonts w:ascii="Times New Roman" w:hAnsi="Times New Roman" w:cs="Times New Roman"/>
          <w:b/>
          <w:sz w:val="24"/>
          <w:szCs w:val="24"/>
        </w:rPr>
        <w:t>Accretion/Dilution Analysis</w:t>
      </w:r>
    </w:p>
    <w:p w:rsidR="00D777E4" w:rsidRDefault="001C4334" w:rsidP="00DB38DC">
      <w:pPr>
        <w:spacing w:line="360" w:lineRule="auto"/>
        <w:jc w:val="both"/>
        <w:rPr>
          <w:rFonts w:ascii="Times New Roman" w:hAnsi="Times New Roman" w:cs="Times New Roman"/>
          <w:sz w:val="24"/>
          <w:szCs w:val="24"/>
        </w:rPr>
      </w:pPr>
      <w:r w:rsidRPr="00DB38DC">
        <w:rPr>
          <w:rFonts w:ascii="Times New Roman" w:hAnsi="Times New Roman" w:cs="Times New Roman"/>
          <w:sz w:val="24"/>
          <w:szCs w:val="24"/>
        </w:rPr>
        <w:t xml:space="preserve">The accretion/dilution analysis helps compare post-transaction earnings per share and Pre-transaction earnings per share to determine if the merger is accretive or dilutive. In the given case the pre-merger EPS is SAR 2.85 and post-merger EPS is SAR 3.10. Hence, the </w:t>
      </w:r>
      <w:r w:rsidR="0080629B" w:rsidRPr="00DB38DC">
        <w:rPr>
          <w:rFonts w:ascii="Times New Roman" w:hAnsi="Times New Roman" w:cs="Times New Roman"/>
          <w:sz w:val="24"/>
          <w:szCs w:val="24"/>
        </w:rPr>
        <w:t>post-merger</w:t>
      </w:r>
      <w:r w:rsidRPr="00DB38DC">
        <w:rPr>
          <w:rFonts w:ascii="Times New Roman" w:hAnsi="Times New Roman" w:cs="Times New Roman"/>
          <w:sz w:val="24"/>
          <w:szCs w:val="24"/>
        </w:rPr>
        <w:t xml:space="preserve"> earnings per share is higher than the pre-merger EPS therefore the merger is accretive. It implements that the merger is expected to result in increasing the earnings per share for the combined </w:t>
      </w:r>
      <w:r w:rsidR="0080629B" w:rsidRPr="00DB38DC">
        <w:rPr>
          <w:rFonts w:ascii="Times New Roman" w:hAnsi="Times New Roman" w:cs="Times New Roman"/>
          <w:sz w:val="24"/>
          <w:szCs w:val="24"/>
        </w:rPr>
        <w:t>organization</w:t>
      </w:r>
      <w:r w:rsidRPr="00DB38DC">
        <w:rPr>
          <w:rFonts w:ascii="Times New Roman" w:hAnsi="Times New Roman" w:cs="Times New Roman"/>
          <w:sz w:val="24"/>
          <w:szCs w:val="24"/>
        </w:rPr>
        <w:t xml:space="preserve">. </w:t>
      </w:r>
    </w:p>
    <w:p w:rsidR="006731C8" w:rsidRPr="006731C8" w:rsidRDefault="006731C8" w:rsidP="00DB38DC">
      <w:pPr>
        <w:spacing w:line="360" w:lineRule="auto"/>
        <w:jc w:val="both"/>
        <w:rPr>
          <w:rFonts w:ascii="Times New Roman" w:hAnsi="Times New Roman" w:cs="Times New Roman"/>
          <w:b/>
          <w:sz w:val="32"/>
          <w:szCs w:val="24"/>
        </w:rPr>
      </w:pPr>
      <w:r w:rsidRPr="006731C8">
        <w:rPr>
          <w:rFonts w:ascii="Times New Roman" w:hAnsi="Times New Roman" w:cs="Times New Roman"/>
          <w:b/>
          <w:sz w:val="24"/>
          <w:szCs w:val="20"/>
        </w:rPr>
        <w:t>Market Impact Analysis</w:t>
      </w:r>
    </w:p>
    <w:p w:rsidR="00A3006A" w:rsidRPr="00DB38DC" w:rsidRDefault="001C4334" w:rsidP="00DB38DC">
      <w:pPr>
        <w:spacing w:line="360" w:lineRule="auto"/>
        <w:jc w:val="both"/>
        <w:rPr>
          <w:rFonts w:ascii="Times New Roman" w:hAnsi="Times New Roman" w:cs="Times New Roman"/>
          <w:sz w:val="24"/>
          <w:szCs w:val="24"/>
        </w:rPr>
      </w:pPr>
      <w:r w:rsidRPr="00DB38DC">
        <w:rPr>
          <w:rFonts w:ascii="Times New Roman" w:hAnsi="Times New Roman" w:cs="Times New Roman"/>
          <w:sz w:val="24"/>
          <w:szCs w:val="24"/>
        </w:rPr>
        <w:t>Cost sa</w:t>
      </w:r>
      <w:bookmarkStart w:id="0" w:name="_GoBack"/>
      <w:bookmarkEnd w:id="0"/>
      <w:r w:rsidRPr="00DB38DC">
        <w:rPr>
          <w:rFonts w:ascii="Times New Roman" w:hAnsi="Times New Roman" w:cs="Times New Roman"/>
          <w:sz w:val="24"/>
          <w:szCs w:val="24"/>
        </w:rPr>
        <w:t>vings resulting from a merger could be collected from different resources such as operational efficiency</w:t>
      </w:r>
      <w:r w:rsidR="0080629B" w:rsidRPr="00DB38DC">
        <w:rPr>
          <w:rFonts w:ascii="Times New Roman" w:hAnsi="Times New Roman" w:cs="Times New Roman"/>
          <w:sz w:val="24"/>
          <w:szCs w:val="24"/>
        </w:rPr>
        <w:t>,</w:t>
      </w:r>
      <w:r w:rsidRPr="00DB38DC">
        <w:rPr>
          <w:rFonts w:ascii="Times New Roman" w:hAnsi="Times New Roman" w:cs="Times New Roman"/>
          <w:sz w:val="24"/>
          <w:szCs w:val="24"/>
        </w:rPr>
        <w:t xml:space="preserve"> staff reduction, and synergies in different procedures. The detailed information about cost saving is based on the information provided by banks and the goals of the merger. The areas of all cost</w:t>
      </w:r>
      <w:r w:rsidR="0080629B" w:rsidRPr="00DB38DC">
        <w:rPr>
          <w:rFonts w:ascii="Times New Roman" w:hAnsi="Times New Roman" w:cs="Times New Roman"/>
          <w:sz w:val="24"/>
          <w:szCs w:val="24"/>
        </w:rPr>
        <w:t xml:space="preserve">-saving </w:t>
      </w:r>
      <w:r w:rsidRPr="00DB38DC">
        <w:rPr>
          <w:rFonts w:ascii="Times New Roman" w:hAnsi="Times New Roman" w:cs="Times New Roman"/>
          <w:sz w:val="24"/>
          <w:szCs w:val="24"/>
        </w:rPr>
        <w:t>include streamlining operations</w:t>
      </w:r>
      <w:r w:rsidR="0080629B" w:rsidRPr="00DB38DC">
        <w:rPr>
          <w:rFonts w:ascii="Times New Roman" w:hAnsi="Times New Roman" w:cs="Times New Roman"/>
          <w:sz w:val="24"/>
          <w:szCs w:val="24"/>
        </w:rPr>
        <w:t>,</w:t>
      </w:r>
      <w:r w:rsidRPr="00DB38DC">
        <w:rPr>
          <w:rFonts w:ascii="Times New Roman" w:hAnsi="Times New Roman" w:cs="Times New Roman"/>
          <w:sz w:val="24"/>
          <w:szCs w:val="24"/>
        </w:rPr>
        <w:t xml:space="preserve"> consolidated branches, and </w:t>
      </w:r>
      <w:r w:rsidR="0080629B" w:rsidRPr="00DB38DC">
        <w:rPr>
          <w:rFonts w:ascii="Times New Roman" w:hAnsi="Times New Roman" w:cs="Times New Roman"/>
          <w:sz w:val="24"/>
          <w:szCs w:val="24"/>
        </w:rPr>
        <w:lastRenderedPageBreak/>
        <w:t>optimized</w:t>
      </w:r>
      <w:r w:rsidRPr="00DB38DC">
        <w:rPr>
          <w:rFonts w:ascii="Times New Roman" w:hAnsi="Times New Roman" w:cs="Times New Roman"/>
          <w:sz w:val="24"/>
          <w:szCs w:val="24"/>
        </w:rPr>
        <w:t xml:space="preserve"> office functions and the exact estimation of cost receiving provides access to detailed financial operations and data. Analysis of change in co</w:t>
      </w:r>
      <w:r w:rsidR="0080629B" w:rsidRPr="00DB38DC">
        <w:rPr>
          <w:rFonts w:ascii="Times New Roman" w:hAnsi="Times New Roman" w:cs="Times New Roman"/>
          <w:sz w:val="24"/>
          <w:szCs w:val="24"/>
        </w:rPr>
        <w:t xml:space="preserve">st to income ratio is a key financial </w:t>
      </w:r>
      <w:r w:rsidRPr="00DB38DC">
        <w:rPr>
          <w:rFonts w:ascii="Times New Roman" w:hAnsi="Times New Roman" w:cs="Times New Roman"/>
          <w:sz w:val="24"/>
          <w:szCs w:val="24"/>
        </w:rPr>
        <w:t xml:space="preserve">measure to </w:t>
      </w:r>
      <w:r w:rsidR="0080629B" w:rsidRPr="00DB38DC">
        <w:rPr>
          <w:rFonts w:ascii="Times New Roman" w:hAnsi="Times New Roman" w:cs="Times New Roman"/>
          <w:sz w:val="24"/>
          <w:szCs w:val="24"/>
        </w:rPr>
        <w:t>analyze</w:t>
      </w:r>
      <w:r w:rsidRPr="00DB38DC">
        <w:rPr>
          <w:rFonts w:ascii="Times New Roman" w:hAnsi="Times New Roman" w:cs="Times New Roman"/>
          <w:sz w:val="24"/>
          <w:szCs w:val="24"/>
        </w:rPr>
        <w:t xml:space="preserve"> the efficiency of a bank by measuring its operating expenses relative to its tot</w:t>
      </w:r>
      <w:r w:rsidR="00B22A79" w:rsidRPr="00DB38DC">
        <w:rPr>
          <w:rFonts w:ascii="Times New Roman" w:hAnsi="Times New Roman" w:cs="Times New Roman"/>
          <w:sz w:val="24"/>
          <w:szCs w:val="24"/>
        </w:rPr>
        <w:t>al income. In the given case an</w:t>
      </w:r>
      <w:r w:rsidRPr="00DB38DC">
        <w:rPr>
          <w:rFonts w:ascii="Times New Roman" w:hAnsi="Times New Roman" w:cs="Times New Roman"/>
          <w:sz w:val="24"/>
          <w:szCs w:val="24"/>
        </w:rPr>
        <w:t xml:space="preserve"> increase in that cost-to-income ratio represents that the merger did not expect cost to save but gained improved efficiency</w:t>
      </w:r>
      <w:sdt>
        <w:sdtPr>
          <w:rPr>
            <w:rFonts w:ascii="Times New Roman" w:hAnsi="Times New Roman" w:cs="Times New Roman"/>
            <w:sz w:val="24"/>
            <w:szCs w:val="24"/>
          </w:rPr>
          <w:id w:val="529917259"/>
          <w:citation/>
        </w:sdtPr>
        <w:sdtContent>
          <w:r w:rsidR="004814B8">
            <w:rPr>
              <w:rFonts w:ascii="Times New Roman" w:hAnsi="Times New Roman" w:cs="Times New Roman"/>
              <w:sz w:val="24"/>
              <w:szCs w:val="24"/>
            </w:rPr>
            <w:fldChar w:fldCharType="begin"/>
          </w:r>
          <w:r w:rsidR="00211214">
            <w:rPr>
              <w:rFonts w:ascii="Times New Roman" w:hAnsi="Times New Roman" w:cs="Times New Roman"/>
              <w:sz w:val="24"/>
              <w:szCs w:val="24"/>
            </w:rPr>
            <w:instrText xml:space="preserve"> CITATION Rah141 \l 1033 </w:instrText>
          </w:r>
          <w:r w:rsidR="004814B8">
            <w:rPr>
              <w:rFonts w:ascii="Times New Roman" w:hAnsi="Times New Roman" w:cs="Times New Roman"/>
              <w:sz w:val="24"/>
              <w:szCs w:val="24"/>
            </w:rPr>
            <w:fldChar w:fldCharType="separate"/>
          </w:r>
          <w:r w:rsidR="00211214" w:rsidRPr="00211214">
            <w:rPr>
              <w:rFonts w:ascii="Times New Roman" w:hAnsi="Times New Roman" w:cs="Times New Roman"/>
              <w:noProof/>
              <w:sz w:val="24"/>
              <w:szCs w:val="24"/>
            </w:rPr>
            <w:t>(Rahatullah, 2014)</w:t>
          </w:r>
          <w:r w:rsidR="004814B8">
            <w:rPr>
              <w:rFonts w:ascii="Times New Roman" w:hAnsi="Times New Roman" w:cs="Times New Roman"/>
              <w:sz w:val="24"/>
              <w:szCs w:val="24"/>
            </w:rPr>
            <w:fldChar w:fldCharType="end"/>
          </w:r>
        </w:sdtContent>
      </w:sdt>
      <w:r w:rsidRPr="00DB38DC">
        <w:rPr>
          <w:rFonts w:ascii="Times New Roman" w:hAnsi="Times New Roman" w:cs="Times New Roman"/>
          <w:sz w:val="24"/>
          <w:szCs w:val="24"/>
        </w:rPr>
        <w:t>.</w:t>
      </w:r>
    </w:p>
    <w:p w:rsidR="0026571C" w:rsidRPr="00DB38DC" w:rsidRDefault="001C4334" w:rsidP="00DB38DC">
      <w:pPr>
        <w:pStyle w:val="ListParagraph"/>
        <w:numPr>
          <w:ilvl w:val="0"/>
          <w:numId w:val="1"/>
        </w:numPr>
        <w:spacing w:line="360" w:lineRule="auto"/>
        <w:jc w:val="both"/>
        <w:rPr>
          <w:rFonts w:ascii="Times New Roman" w:hAnsi="Times New Roman" w:cs="Times New Roman"/>
          <w:b/>
          <w:sz w:val="24"/>
          <w:szCs w:val="24"/>
        </w:rPr>
      </w:pPr>
      <w:r w:rsidRPr="00DB38DC">
        <w:rPr>
          <w:rFonts w:ascii="Times New Roman" w:hAnsi="Times New Roman" w:cs="Times New Roman"/>
          <w:b/>
          <w:sz w:val="24"/>
          <w:szCs w:val="24"/>
        </w:rPr>
        <w:t xml:space="preserve">Conclusion </w:t>
      </w:r>
    </w:p>
    <w:p w:rsidR="00B22A79" w:rsidRDefault="001C4334" w:rsidP="00DB38DC">
      <w:pPr>
        <w:spacing w:line="360" w:lineRule="auto"/>
        <w:jc w:val="both"/>
        <w:rPr>
          <w:rFonts w:ascii="Times New Roman" w:hAnsi="Times New Roman" w:cs="Times New Roman"/>
          <w:sz w:val="24"/>
          <w:szCs w:val="24"/>
        </w:rPr>
      </w:pPr>
      <w:r>
        <w:rPr>
          <w:rFonts w:ascii="Times New Roman" w:hAnsi="Times New Roman" w:cs="Times New Roman"/>
          <w:sz w:val="24"/>
          <w:szCs w:val="24"/>
        </w:rPr>
        <w:t>It is concluded that the A</w:t>
      </w:r>
      <w:r w:rsidR="0026571C" w:rsidRPr="00DB38DC">
        <w:rPr>
          <w:rFonts w:ascii="Times New Roman" w:hAnsi="Times New Roman" w:cs="Times New Roman"/>
          <w:sz w:val="24"/>
          <w:szCs w:val="24"/>
        </w:rPr>
        <w:t>llahi</w:t>
      </w:r>
      <w:r w:rsidRPr="00DB38DC">
        <w:rPr>
          <w:rFonts w:ascii="Times New Roman" w:hAnsi="Times New Roman" w:cs="Times New Roman"/>
          <w:sz w:val="24"/>
          <w:szCs w:val="24"/>
        </w:rPr>
        <w:t xml:space="preserve">Samba Bank </w:t>
      </w:r>
      <w:r w:rsidR="0026571C" w:rsidRPr="00DB38DC">
        <w:rPr>
          <w:rFonts w:ascii="Times New Roman" w:hAnsi="Times New Roman" w:cs="Times New Roman"/>
          <w:sz w:val="24"/>
          <w:szCs w:val="24"/>
        </w:rPr>
        <w:t>merger is based on resha</w:t>
      </w:r>
      <w:r>
        <w:rPr>
          <w:rFonts w:ascii="Times New Roman" w:hAnsi="Times New Roman" w:cs="Times New Roman"/>
          <w:sz w:val="24"/>
          <w:szCs w:val="24"/>
        </w:rPr>
        <w:t xml:space="preserve">ping the banking industry of </w:t>
      </w:r>
      <w:r w:rsidR="0026571C" w:rsidRPr="00DB38DC">
        <w:rPr>
          <w:rFonts w:ascii="Times New Roman" w:hAnsi="Times New Roman" w:cs="Times New Roman"/>
          <w:sz w:val="24"/>
          <w:szCs w:val="24"/>
        </w:rPr>
        <w:t xml:space="preserve">Saudi Arabia and the consolidated market share helps achieve the targets of increased market share improved competitive position and positive market perception. </w:t>
      </w:r>
      <w:r w:rsidRPr="00DB38DC">
        <w:rPr>
          <w:rFonts w:ascii="Times New Roman" w:hAnsi="Times New Roman" w:cs="Times New Roman"/>
          <w:sz w:val="24"/>
          <w:szCs w:val="24"/>
        </w:rPr>
        <w:t>S</w:t>
      </w:r>
      <w:r w:rsidR="0026571C" w:rsidRPr="00DB38DC">
        <w:rPr>
          <w:rFonts w:ascii="Times New Roman" w:hAnsi="Times New Roman" w:cs="Times New Roman"/>
          <w:sz w:val="24"/>
          <w:szCs w:val="24"/>
        </w:rPr>
        <w:t xml:space="preserve">uch transformation is considered to have a positive impact on the market and other entities by developing successful strategies in the broader banking sector. </w:t>
      </w:r>
      <w:r w:rsidRPr="00DB38DC">
        <w:rPr>
          <w:rFonts w:ascii="Times New Roman" w:hAnsi="Times New Roman" w:cs="Times New Roman"/>
          <w:sz w:val="24"/>
          <w:szCs w:val="24"/>
        </w:rPr>
        <w:t>S</w:t>
      </w:r>
      <w:r w:rsidR="0026571C" w:rsidRPr="00DB38DC">
        <w:rPr>
          <w:rFonts w:ascii="Times New Roman" w:hAnsi="Times New Roman" w:cs="Times New Roman"/>
          <w:sz w:val="24"/>
          <w:szCs w:val="24"/>
        </w:rPr>
        <w:t>hareholders are required to closely monitor the regulatory development market reactions and subsequent actions that are help</w:t>
      </w:r>
      <w:r>
        <w:rPr>
          <w:rFonts w:ascii="Times New Roman" w:hAnsi="Times New Roman" w:cs="Times New Roman"/>
          <w:sz w:val="24"/>
          <w:szCs w:val="24"/>
        </w:rPr>
        <w:t>ful to make strategic moves</w:t>
      </w:r>
      <w:r w:rsidR="0026571C" w:rsidRPr="00DB38DC">
        <w:rPr>
          <w:rFonts w:ascii="Times New Roman" w:hAnsi="Times New Roman" w:cs="Times New Roman"/>
          <w:sz w:val="24"/>
          <w:szCs w:val="24"/>
        </w:rPr>
        <w:t xml:space="preserve"> related to investment in the </w:t>
      </w:r>
      <w:r>
        <w:rPr>
          <w:rFonts w:ascii="Times New Roman" w:hAnsi="Times New Roman" w:cs="Times New Roman"/>
          <w:sz w:val="24"/>
          <w:szCs w:val="24"/>
        </w:rPr>
        <w:t>A</w:t>
      </w:r>
      <w:r w:rsidRPr="00DB38DC">
        <w:rPr>
          <w:rFonts w:ascii="Times New Roman" w:hAnsi="Times New Roman" w:cs="Times New Roman"/>
          <w:sz w:val="24"/>
          <w:szCs w:val="24"/>
        </w:rPr>
        <w:t>llahi Samba Bank</w:t>
      </w:r>
      <w:r w:rsidR="0026571C" w:rsidRPr="00DB38DC">
        <w:rPr>
          <w:rFonts w:ascii="Times New Roman" w:hAnsi="Times New Roman" w:cs="Times New Roman"/>
          <w:sz w:val="24"/>
          <w:szCs w:val="24"/>
        </w:rPr>
        <w:t>.</w:t>
      </w:r>
    </w:p>
    <w:p w:rsidR="00867527" w:rsidRDefault="00867527" w:rsidP="00DB38DC">
      <w:pPr>
        <w:spacing w:line="360" w:lineRule="auto"/>
        <w:jc w:val="both"/>
        <w:rPr>
          <w:rFonts w:ascii="Times New Roman" w:hAnsi="Times New Roman" w:cs="Times New Roman"/>
          <w:sz w:val="24"/>
          <w:szCs w:val="24"/>
        </w:rPr>
      </w:pPr>
    </w:p>
    <w:p w:rsidR="00867527" w:rsidRDefault="00867527" w:rsidP="00DB38DC">
      <w:pPr>
        <w:spacing w:line="360" w:lineRule="auto"/>
        <w:jc w:val="both"/>
        <w:rPr>
          <w:rFonts w:ascii="Times New Roman" w:hAnsi="Times New Roman" w:cs="Times New Roman"/>
          <w:sz w:val="24"/>
          <w:szCs w:val="24"/>
        </w:rPr>
      </w:pPr>
    </w:p>
    <w:p w:rsidR="00867527" w:rsidRDefault="00867527" w:rsidP="00DB38DC">
      <w:pPr>
        <w:spacing w:line="360" w:lineRule="auto"/>
        <w:jc w:val="both"/>
        <w:rPr>
          <w:rFonts w:ascii="Times New Roman" w:hAnsi="Times New Roman" w:cs="Times New Roman"/>
          <w:sz w:val="24"/>
          <w:szCs w:val="24"/>
        </w:rPr>
      </w:pPr>
    </w:p>
    <w:p w:rsidR="00867527" w:rsidRDefault="00867527" w:rsidP="00DB38DC">
      <w:pPr>
        <w:spacing w:line="360" w:lineRule="auto"/>
        <w:jc w:val="both"/>
        <w:rPr>
          <w:rFonts w:ascii="Times New Roman" w:hAnsi="Times New Roman" w:cs="Times New Roman"/>
          <w:sz w:val="24"/>
          <w:szCs w:val="24"/>
        </w:rPr>
      </w:pPr>
    </w:p>
    <w:p w:rsidR="00867527" w:rsidRDefault="00867527" w:rsidP="00DB38DC">
      <w:pPr>
        <w:spacing w:line="360" w:lineRule="auto"/>
        <w:jc w:val="both"/>
        <w:rPr>
          <w:rFonts w:ascii="Times New Roman" w:hAnsi="Times New Roman" w:cs="Times New Roman"/>
          <w:sz w:val="24"/>
          <w:szCs w:val="24"/>
        </w:rPr>
      </w:pPr>
    </w:p>
    <w:p w:rsidR="00867527" w:rsidRDefault="001C4334" w:rsidP="00DB38D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rsidR="00867527" w:rsidRDefault="004814B8" w:rsidP="00867527">
      <w:pPr>
        <w:pStyle w:val="Bibliography"/>
        <w:ind w:left="720" w:hanging="720"/>
        <w:rPr>
          <w:noProof/>
        </w:rPr>
      </w:pPr>
      <w:r>
        <w:rPr>
          <w:rFonts w:ascii="Times New Roman" w:hAnsi="Times New Roman" w:cs="Times New Roman"/>
          <w:b/>
          <w:sz w:val="24"/>
          <w:szCs w:val="24"/>
        </w:rPr>
        <w:fldChar w:fldCharType="begin"/>
      </w:r>
      <w:r w:rsidR="001C4334">
        <w:rPr>
          <w:rFonts w:ascii="Times New Roman" w:hAnsi="Times New Roman" w:cs="Times New Roman"/>
          <w:b/>
          <w:sz w:val="24"/>
          <w:szCs w:val="24"/>
        </w:rPr>
        <w:instrText xml:space="preserve"> BIBLIOGRAPHY  \l 1033 </w:instrText>
      </w:r>
      <w:r>
        <w:rPr>
          <w:rFonts w:ascii="Times New Roman" w:hAnsi="Times New Roman" w:cs="Times New Roman"/>
          <w:b/>
          <w:sz w:val="24"/>
          <w:szCs w:val="24"/>
        </w:rPr>
        <w:fldChar w:fldCharType="separate"/>
      </w:r>
      <w:r w:rsidR="001C4334">
        <w:rPr>
          <w:noProof/>
        </w:rPr>
        <w:t xml:space="preserve">Alothman, S., &amp; AL-MAHISH., M. (2020). How Banks' Resources at the Retail Level Affect Their Output?.". </w:t>
      </w:r>
      <w:r w:rsidR="001C4334">
        <w:rPr>
          <w:i/>
          <w:iCs/>
          <w:noProof/>
        </w:rPr>
        <w:t>The Journal of Asian Finance, Economics and Business, 7</w:t>
      </w:r>
      <w:r w:rsidR="001C4334">
        <w:rPr>
          <w:noProof/>
        </w:rPr>
        <w:t>(12), 853-861.</w:t>
      </w:r>
    </w:p>
    <w:p w:rsidR="00867527" w:rsidRDefault="001C4334" w:rsidP="00867527">
      <w:pPr>
        <w:pStyle w:val="Bibliography"/>
        <w:ind w:left="720" w:hanging="720"/>
        <w:rPr>
          <w:noProof/>
        </w:rPr>
      </w:pPr>
      <w:r>
        <w:rPr>
          <w:noProof/>
        </w:rPr>
        <w:t xml:space="preserve">Rahatullah, M. K. (2014). "Financial synergy in mergers and acquisitions. Evidence from Saudi Arabia.". </w:t>
      </w:r>
      <w:r>
        <w:rPr>
          <w:i/>
          <w:iCs/>
          <w:noProof/>
        </w:rPr>
        <w:t>Aestimatio, 9</w:t>
      </w:r>
      <w:r>
        <w:rPr>
          <w:noProof/>
        </w:rPr>
        <w:t>, 182.</w:t>
      </w:r>
    </w:p>
    <w:p w:rsidR="00867527" w:rsidRDefault="001C4334" w:rsidP="00867527">
      <w:pPr>
        <w:pStyle w:val="Bibliography"/>
        <w:ind w:left="720" w:hanging="720"/>
        <w:rPr>
          <w:noProof/>
        </w:rPr>
      </w:pPr>
      <w:r>
        <w:rPr>
          <w:noProof/>
        </w:rPr>
        <w:t xml:space="preserve">Ullah, N., Nor, F. M., Seman, J. A., Ramli, N. A., &amp; Rasedee., A. F. (2023). The Impact of Bank Size on Pre-and Post-Merger and Acquisition Performance and Stability: New Evidence from GCC and Pakistan. </w:t>
      </w:r>
      <w:r>
        <w:rPr>
          <w:i/>
          <w:iCs/>
          <w:noProof/>
        </w:rPr>
        <w:t>International Journal of Professional Business Review: Int. J. Prof. Bus. Rev., 8</w:t>
      </w:r>
      <w:r>
        <w:rPr>
          <w:noProof/>
        </w:rPr>
        <w:t>(11), 14.</w:t>
      </w:r>
    </w:p>
    <w:p w:rsidR="00867527" w:rsidRDefault="001C4334" w:rsidP="00867527">
      <w:pPr>
        <w:pStyle w:val="Bibliography"/>
        <w:ind w:left="720" w:hanging="720"/>
        <w:rPr>
          <w:noProof/>
        </w:rPr>
      </w:pPr>
      <w:r>
        <w:rPr>
          <w:noProof/>
        </w:rPr>
        <w:t xml:space="preserve">Zobair, A. S., Almansour, M. A., Abdelhameed, M. A., &amp; Mohammed, S. D. (2023). Sequential Reactive Impact of Environmental Accounting &amp; Employee Green Behavior on Environmental Performance at Al-ahli Bank in Kingdom of Saudi Arabia. </w:t>
      </w:r>
      <w:r>
        <w:rPr>
          <w:i/>
          <w:iCs/>
          <w:noProof/>
        </w:rPr>
        <w:t>Migration Letters, 20</w:t>
      </w:r>
      <w:r>
        <w:rPr>
          <w:noProof/>
        </w:rPr>
        <w:t>(S1), 448-466.</w:t>
      </w:r>
    </w:p>
    <w:p w:rsidR="00867527" w:rsidRPr="00867527" w:rsidRDefault="004814B8" w:rsidP="0086752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fldChar w:fldCharType="end"/>
      </w:r>
    </w:p>
    <w:sectPr w:rsidR="00867527" w:rsidRPr="00867527" w:rsidSect="00F64CC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8A2" w:rsidRDefault="00A808A2">
      <w:pPr>
        <w:spacing w:after="0" w:line="240" w:lineRule="auto"/>
      </w:pPr>
      <w:r>
        <w:separator/>
      </w:r>
    </w:p>
  </w:endnote>
  <w:endnote w:type="continuationSeparator" w:id="1">
    <w:p w:rsidR="00A808A2" w:rsidRDefault="00A80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8A2" w:rsidRDefault="00A808A2">
      <w:pPr>
        <w:spacing w:after="0" w:line="240" w:lineRule="auto"/>
      </w:pPr>
      <w:r>
        <w:separator/>
      </w:r>
    </w:p>
  </w:footnote>
  <w:footnote w:type="continuationSeparator" w:id="1">
    <w:p w:rsidR="00A808A2" w:rsidRDefault="00A808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DC" w:rsidRDefault="001C4334">
    <w:pPr>
      <w:pStyle w:val="Header"/>
    </w:pPr>
    <w:r>
      <w:tab/>
    </w:r>
    <w:r>
      <w:tab/>
    </w:r>
    <w:sdt>
      <w:sdtPr>
        <w:id w:val="1310677421"/>
        <w:docPartObj>
          <w:docPartGallery w:val="Page Numbers (Top of Page)"/>
          <w:docPartUnique/>
        </w:docPartObj>
      </w:sdtPr>
      <w:sdtEndPr>
        <w:rPr>
          <w:noProof/>
        </w:rPr>
      </w:sdtEndPr>
      <w:sdtContent>
        <w:r w:rsidR="004814B8">
          <w:fldChar w:fldCharType="begin"/>
        </w:r>
        <w:r>
          <w:instrText xml:space="preserve"> PAGE   \* MERGEFORMAT </w:instrText>
        </w:r>
        <w:r w:rsidR="004814B8">
          <w:fldChar w:fldCharType="separate"/>
        </w:r>
        <w:r w:rsidR="004E1A7F">
          <w:rPr>
            <w:noProof/>
          </w:rPr>
          <w:t>1</w:t>
        </w:r>
        <w:r w:rsidR="004814B8">
          <w:rPr>
            <w:noProof/>
          </w:rPr>
          <w:fldChar w:fldCharType="end"/>
        </w:r>
      </w:sdtContent>
    </w:sdt>
  </w:p>
  <w:p w:rsidR="00DB38DC" w:rsidRDefault="00DB38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53D64"/>
    <w:multiLevelType w:val="multilevel"/>
    <w:tmpl w:val="E7A8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FF19EF"/>
    <w:multiLevelType w:val="multilevel"/>
    <w:tmpl w:val="2E0A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9B4CD5"/>
    <w:multiLevelType w:val="multilevel"/>
    <w:tmpl w:val="BF1A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074AB3"/>
    <w:multiLevelType w:val="multilevel"/>
    <w:tmpl w:val="F5C064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64CCC"/>
    <w:rsid w:val="00021E07"/>
    <w:rsid w:val="00115A03"/>
    <w:rsid w:val="00173AD6"/>
    <w:rsid w:val="001C4334"/>
    <w:rsid w:val="001F1438"/>
    <w:rsid w:val="00211214"/>
    <w:rsid w:val="0026571C"/>
    <w:rsid w:val="002D4694"/>
    <w:rsid w:val="002D4E50"/>
    <w:rsid w:val="00334369"/>
    <w:rsid w:val="003A37AE"/>
    <w:rsid w:val="004814B8"/>
    <w:rsid w:val="004E1A7F"/>
    <w:rsid w:val="004F45B1"/>
    <w:rsid w:val="00505B37"/>
    <w:rsid w:val="00571F7E"/>
    <w:rsid w:val="005C7608"/>
    <w:rsid w:val="006731C8"/>
    <w:rsid w:val="00702F87"/>
    <w:rsid w:val="00743F84"/>
    <w:rsid w:val="00766A96"/>
    <w:rsid w:val="00785A73"/>
    <w:rsid w:val="0080629B"/>
    <w:rsid w:val="00824E99"/>
    <w:rsid w:val="00867527"/>
    <w:rsid w:val="00872A26"/>
    <w:rsid w:val="008822F3"/>
    <w:rsid w:val="008906F3"/>
    <w:rsid w:val="008B5386"/>
    <w:rsid w:val="009611F4"/>
    <w:rsid w:val="00963805"/>
    <w:rsid w:val="00A3006A"/>
    <w:rsid w:val="00A808A2"/>
    <w:rsid w:val="00A91699"/>
    <w:rsid w:val="00B22A79"/>
    <w:rsid w:val="00B903D2"/>
    <w:rsid w:val="00BA090D"/>
    <w:rsid w:val="00BC65B2"/>
    <w:rsid w:val="00BD4789"/>
    <w:rsid w:val="00C10356"/>
    <w:rsid w:val="00CA1FC4"/>
    <w:rsid w:val="00CF589B"/>
    <w:rsid w:val="00D010B5"/>
    <w:rsid w:val="00D777E4"/>
    <w:rsid w:val="00DB38DC"/>
    <w:rsid w:val="00E56E51"/>
    <w:rsid w:val="00E83D8D"/>
    <w:rsid w:val="00EE332F"/>
    <w:rsid w:val="00F06B75"/>
    <w:rsid w:val="00F13709"/>
    <w:rsid w:val="00F563E1"/>
    <w:rsid w:val="00F64CCC"/>
    <w:rsid w:val="00F82216"/>
    <w:rsid w:val="00F82249"/>
    <w:rsid w:val="00FD29A6"/>
    <w:rsid w:val="00FF17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CCC"/>
    <w:pPr>
      <w:spacing w:after="160" w:line="259"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3F84"/>
    <w:pPr>
      <w:ind w:left="720"/>
      <w:contextualSpacing/>
    </w:pPr>
  </w:style>
  <w:style w:type="paragraph" w:styleId="Header">
    <w:name w:val="header"/>
    <w:basedOn w:val="Normal"/>
    <w:link w:val="HeaderChar"/>
    <w:uiPriority w:val="99"/>
    <w:unhideWhenUsed/>
    <w:rsid w:val="00DB3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8DC"/>
    <w:rPr>
      <w:kern w:val="2"/>
    </w:rPr>
  </w:style>
  <w:style w:type="paragraph" w:styleId="Footer">
    <w:name w:val="footer"/>
    <w:basedOn w:val="Normal"/>
    <w:link w:val="FooterChar"/>
    <w:uiPriority w:val="99"/>
    <w:unhideWhenUsed/>
    <w:rsid w:val="00DB3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8DC"/>
    <w:rPr>
      <w:kern w:val="2"/>
    </w:rPr>
  </w:style>
  <w:style w:type="paragraph" w:styleId="BalloonText">
    <w:name w:val="Balloon Text"/>
    <w:basedOn w:val="Normal"/>
    <w:link w:val="BalloonTextChar"/>
    <w:uiPriority w:val="99"/>
    <w:semiHidden/>
    <w:unhideWhenUsed/>
    <w:rsid w:val="00890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6F3"/>
    <w:rPr>
      <w:rFonts w:ascii="Tahoma" w:hAnsi="Tahoma" w:cs="Tahoma"/>
      <w:kern w:val="2"/>
      <w:sz w:val="16"/>
      <w:szCs w:val="16"/>
    </w:rPr>
  </w:style>
  <w:style w:type="paragraph" w:styleId="Bibliography">
    <w:name w:val="Bibliography"/>
    <w:basedOn w:val="Normal"/>
    <w:next w:val="Normal"/>
    <w:uiPriority w:val="37"/>
    <w:unhideWhenUsed/>
    <w:rsid w:val="00867527"/>
  </w:style>
  <w:style w:type="character" w:customStyle="1" w:styleId="mord">
    <w:name w:val="mord"/>
    <w:basedOn w:val="DefaultParagraphFont"/>
    <w:rsid w:val="00D010B5"/>
  </w:style>
  <w:style w:type="character" w:customStyle="1" w:styleId="mrel">
    <w:name w:val="mrel"/>
    <w:basedOn w:val="DefaultParagraphFont"/>
    <w:rsid w:val="00D010B5"/>
  </w:style>
  <w:style w:type="character" w:customStyle="1" w:styleId="mopen">
    <w:name w:val="mopen"/>
    <w:basedOn w:val="DefaultParagraphFont"/>
    <w:rsid w:val="00D010B5"/>
  </w:style>
  <w:style w:type="character" w:customStyle="1" w:styleId="vlist-s">
    <w:name w:val="vlist-s"/>
    <w:basedOn w:val="DefaultParagraphFont"/>
    <w:rsid w:val="00D010B5"/>
  </w:style>
  <w:style w:type="character" w:customStyle="1" w:styleId="mclose">
    <w:name w:val="mclose"/>
    <w:basedOn w:val="DefaultParagraphFont"/>
    <w:rsid w:val="00D010B5"/>
  </w:style>
  <w:style w:type="character" w:customStyle="1" w:styleId="mbin">
    <w:name w:val="mbin"/>
    <w:basedOn w:val="DefaultParagraphFont"/>
    <w:rsid w:val="00D010B5"/>
  </w:style>
  <w:style w:type="paragraph" w:styleId="NormalWeb">
    <w:name w:val="Normal (Web)"/>
    <w:basedOn w:val="Normal"/>
    <w:uiPriority w:val="99"/>
    <w:semiHidden/>
    <w:unhideWhenUsed/>
    <w:rsid w:val="00E83D8D"/>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katex-mathml">
    <w:name w:val="katex-mathml"/>
    <w:basedOn w:val="DefaultParagraphFont"/>
    <w:rsid w:val="00E83D8D"/>
  </w:style>
  <w:style w:type="character" w:customStyle="1" w:styleId="delimsizing">
    <w:name w:val="delimsizing"/>
    <w:basedOn w:val="DefaultParagraphFont"/>
    <w:rsid w:val="008822F3"/>
  </w:style>
  <w:style w:type="character" w:customStyle="1" w:styleId="mpunct">
    <w:name w:val="mpunct"/>
    <w:basedOn w:val="DefaultParagraphFont"/>
    <w:rsid w:val="008822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CCC"/>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3F84"/>
    <w:pPr>
      <w:ind w:left="720"/>
      <w:contextualSpacing/>
    </w:pPr>
  </w:style>
  <w:style w:type="paragraph" w:styleId="Header">
    <w:name w:val="header"/>
    <w:basedOn w:val="Normal"/>
    <w:link w:val="HeaderChar"/>
    <w:uiPriority w:val="99"/>
    <w:unhideWhenUsed/>
    <w:rsid w:val="00DB3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8DC"/>
    <w:rPr>
      <w:kern w:val="2"/>
      <w14:ligatures w14:val="standardContextual"/>
    </w:rPr>
  </w:style>
  <w:style w:type="paragraph" w:styleId="Footer">
    <w:name w:val="footer"/>
    <w:basedOn w:val="Normal"/>
    <w:link w:val="FooterChar"/>
    <w:uiPriority w:val="99"/>
    <w:unhideWhenUsed/>
    <w:rsid w:val="00DB3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8DC"/>
    <w:rPr>
      <w:kern w:val="2"/>
      <w14:ligatures w14:val="standardContextual"/>
    </w:rPr>
  </w:style>
  <w:style w:type="paragraph" w:styleId="BalloonText">
    <w:name w:val="Balloon Text"/>
    <w:basedOn w:val="Normal"/>
    <w:link w:val="BalloonTextChar"/>
    <w:uiPriority w:val="99"/>
    <w:semiHidden/>
    <w:unhideWhenUsed/>
    <w:rsid w:val="00890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6F3"/>
    <w:rPr>
      <w:rFonts w:ascii="Tahoma" w:hAnsi="Tahoma" w:cs="Tahoma"/>
      <w:kern w:val="2"/>
      <w:sz w:val="16"/>
      <w:szCs w:val="16"/>
      <w14:ligatures w14:val="standardContextual"/>
    </w:rPr>
  </w:style>
  <w:style w:type="paragraph" w:styleId="Bibliography">
    <w:name w:val="Bibliography"/>
    <w:basedOn w:val="Normal"/>
    <w:next w:val="Normal"/>
    <w:uiPriority w:val="37"/>
    <w:unhideWhenUsed/>
    <w:rsid w:val="00867527"/>
  </w:style>
  <w:style w:type="character" w:customStyle="1" w:styleId="mord">
    <w:name w:val="mord"/>
    <w:basedOn w:val="DefaultParagraphFont"/>
    <w:rsid w:val="00D010B5"/>
  </w:style>
  <w:style w:type="character" w:customStyle="1" w:styleId="mrel">
    <w:name w:val="mrel"/>
    <w:basedOn w:val="DefaultParagraphFont"/>
    <w:rsid w:val="00D010B5"/>
  </w:style>
  <w:style w:type="character" w:customStyle="1" w:styleId="mopen">
    <w:name w:val="mopen"/>
    <w:basedOn w:val="DefaultParagraphFont"/>
    <w:rsid w:val="00D010B5"/>
  </w:style>
  <w:style w:type="character" w:customStyle="1" w:styleId="vlist-s">
    <w:name w:val="vlist-s"/>
    <w:basedOn w:val="DefaultParagraphFont"/>
    <w:rsid w:val="00D010B5"/>
  </w:style>
  <w:style w:type="character" w:customStyle="1" w:styleId="mclose">
    <w:name w:val="mclose"/>
    <w:basedOn w:val="DefaultParagraphFont"/>
    <w:rsid w:val="00D010B5"/>
  </w:style>
  <w:style w:type="character" w:customStyle="1" w:styleId="mbin">
    <w:name w:val="mbin"/>
    <w:basedOn w:val="DefaultParagraphFont"/>
    <w:rsid w:val="00D010B5"/>
  </w:style>
  <w:style w:type="paragraph" w:styleId="NormalWeb">
    <w:name w:val="Normal (Web)"/>
    <w:basedOn w:val="Normal"/>
    <w:uiPriority w:val="99"/>
    <w:semiHidden/>
    <w:unhideWhenUsed/>
    <w:rsid w:val="00E83D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katex-mathml">
    <w:name w:val="katex-mathml"/>
    <w:basedOn w:val="DefaultParagraphFont"/>
    <w:rsid w:val="00E83D8D"/>
  </w:style>
  <w:style w:type="character" w:customStyle="1" w:styleId="delimsizing">
    <w:name w:val="delimsizing"/>
    <w:basedOn w:val="DefaultParagraphFont"/>
    <w:rsid w:val="008822F3"/>
  </w:style>
  <w:style w:type="character" w:customStyle="1" w:styleId="mpunct">
    <w:name w:val="mpunct"/>
    <w:basedOn w:val="DefaultParagraphFont"/>
    <w:rsid w:val="008822F3"/>
  </w:style>
</w:styles>
</file>

<file path=word/webSettings.xml><?xml version="1.0" encoding="utf-8"?>
<w:webSettings xmlns:r="http://schemas.openxmlformats.org/officeDocument/2006/relationships" xmlns:w="http://schemas.openxmlformats.org/wordprocessingml/2006/main">
  <w:divs>
    <w:div w:id="191426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Rah141</b:Tag>
    <b:SourceType>JournalArticle</b:SourceType>
    <b:Guid>{3E64C194-805C-400C-A05A-1B47B321532F}</b:Guid>
    <b:Author>
      <b:Author>
        <b:NameList>
          <b:Person>
            <b:Last>Rahatullah</b:Last>
            <b:First>Muhammad</b:First>
            <b:Middle>K.</b:Middle>
          </b:Person>
        </b:NameList>
      </b:Author>
    </b:Author>
    <b:Title>"Financial synergy in mergers and acquisitions. Evidence from Saudi Arabia."</b:Title>
    <b:JournalName>Aestimatio</b:JournalName>
    <b:Year>2014</b:Year>
    <b:Pages>182</b:Pages>
    <b:Volume>9</b:Volume>
    <b:RefOrder>1</b:RefOrder>
  </b:Source>
  <b:Source>
    <b:Tag>Alo202</b:Tag>
    <b:SourceType>JournalArticle</b:SourceType>
    <b:Guid>{80683A25-65AE-4EE7-A0A6-79A9B48125D9}</b:Guid>
    <b:Author>
      <b:Author>
        <b:NameList>
          <b:Person>
            <b:Last>Alothman</b:Last>
            <b:First>Seham</b:First>
          </b:Person>
          <b:Person>
            <b:Last>AL-MAHISH.</b:Last>
            <b:First>Mohammed</b:First>
          </b:Person>
        </b:NameList>
      </b:Author>
    </b:Author>
    <b:Title>How Banks' Resources at the Retail Level Affect Their Output?."</b:Title>
    <b:JournalName>The Journal of Asian Finance, Economics and Business</b:JournalName>
    <b:Year>2020</b:Year>
    <b:Pages>853-861</b:Pages>
    <b:Volume>7</b:Volume>
    <b:Issue>12</b:Issue>
    <b:RefOrder>2</b:RefOrder>
  </b:Source>
  <b:Source>
    <b:Tag>Zob23</b:Tag>
    <b:SourceType>JournalArticle</b:SourceType>
    <b:Guid>{0999ABDF-1866-491B-884D-3EB6CEB16CC9}</b:Guid>
    <b:Author>
      <b:Author>
        <b:NameList>
          <b:Person>
            <b:Last>Zobair</b:Last>
            <b:First>Alwia</b:First>
            <b:Middle>Saeed Osman</b:Middle>
          </b:Person>
          <b:Person>
            <b:Last>Almansour</b:Last>
            <b:First>Mohammed</b:First>
            <b:Middle>Abdulaziz</b:Middle>
          </b:Person>
          <b:Person>
            <b:Last>Abdelhameed</b:Last>
            <b:First>Mahmoud</b:First>
            <b:Middle>Abdelmuty Hashim</b:Middle>
          </b:Person>
          <b:Person>
            <b:Last>Mohammed</b:Last>
            <b:First>Salwa</b:First>
            <b:Middle>Dirar Awad</b:Middle>
          </b:Person>
        </b:NameList>
      </b:Author>
    </b:Author>
    <b:Title>Sequential Reactive Impact of Environmental Accounting &amp; Employee Green Behavior on Environmental Performance at Al-ahli Bank in Kingdom of Saudi Arabia.</b:Title>
    <b:JournalName>Migration Letters</b:JournalName>
    <b:Year>2023</b:Year>
    <b:Pages>448-466</b:Pages>
    <b:Volume>20</b:Volume>
    <b:Issue>S1</b:Issue>
    <b:RefOrder>3</b:RefOrder>
  </b:Source>
  <b:Source>
    <b:Tag>Ull23</b:Tag>
    <b:SourceType>JournalArticle</b:SourceType>
    <b:Guid>{29D3DAF1-DE5A-415F-BE3E-D14655693231}</b:Guid>
    <b:Author>
      <b:Author>
        <b:NameList>
          <b:Person>
            <b:Last>Ullah</b:Last>
            <b:First>Nazim</b:First>
          </b:Person>
          <b:Person>
            <b:Last>Nor</b:Last>
            <b:First>Fauzias</b:First>
            <b:Middle>Mat</b:Middle>
          </b:Person>
          <b:Person>
            <b:Last>Seman</b:Last>
            <b:First>Junaidah</b:First>
            <b:Middle>Abu</b:Middle>
          </b:Person>
          <b:Person>
            <b:Last>Ramli</b:Last>
            <b:First>Nur</b:First>
            <b:Middle>Ainna Binti</b:Middle>
          </b:Person>
          <b:Person>
            <b:Last>Rasedee.</b:Last>
            <b:First>Ahmad</b:First>
            <b:Middle>Fadly Nurullah Bin</b:Middle>
          </b:Person>
        </b:NameList>
      </b:Author>
    </b:Author>
    <b:Title>The Impact of Bank Size on Pre-and Post-Merger and Acquisition Performance and Stability: New Evidence from GCC and Pakistan.</b:Title>
    <b:JournalName>International Journal of Professional Business Review: Int. J. Prof. Bus. Rev.</b:JournalName>
    <b:Year>2023</b:Year>
    <b:Pages>14</b:Pages>
    <b:Volume>8</b:Volume>
    <b:Issue>11</b:Issue>
    <b:RefOrder>4</b:RefOrder>
  </b:Source>
</b:Sources>
</file>

<file path=customXml/itemProps1.xml><?xml version="1.0" encoding="utf-8"?>
<ds:datastoreItem xmlns:ds="http://schemas.openxmlformats.org/officeDocument/2006/customXml" ds:itemID="{4386E793-0EEB-49CC-8F3F-B6821A65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3</cp:revision>
  <dcterms:created xsi:type="dcterms:W3CDTF">2023-12-29T18:49:00Z</dcterms:created>
  <dcterms:modified xsi:type="dcterms:W3CDTF">2024-11-25T07:49:00Z</dcterms:modified>
</cp:coreProperties>
</file>